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58223" w14:textId="77777777" w:rsidR="0023303F" w:rsidRDefault="0023303F" w:rsidP="0023303F">
      <w:pPr>
        <w:pBdr>
          <w:top w:val="nil"/>
          <w:left w:val="nil"/>
          <w:bottom w:val="nil"/>
          <w:right w:val="nil"/>
          <w:between w:val="nil"/>
        </w:pBdr>
        <w:tabs>
          <w:tab w:val="center" w:pos="4320"/>
          <w:tab w:val="right" w:pos="8640"/>
        </w:tabs>
        <w:spacing w:after="0" w:line="240" w:lineRule="auto"/>
        <w:rPr>
          <w:rFonts w:ascii="Arial" w:eastAsia="Arial" w:hAnsi="Arial" w:cs="Arial"/>
          <w:b/>
          <w:color w:val="000000"/>
          <w:sz w:val="24"/>
          <w:szCs w:val="24"/>
        </w:rPr>
      </w:pPr>
    </w:p>
    <w:p w14:paraId="64EE46CA" w14:textId="77777777" w:rsidR="0023303F" w:rsidRPr="0019143A" w:rsidRDefault="0023303F" w:rsidP="0023303F">
      <w:pPr>
        <w:pBdr>
          <w:top w:val="nil"/>
          <w:left w:val="nil"/>
          <w:bottom w:val="nil"/>
          <w:right w:val="nil"/>
          <w:between w:val="nil"/>
        </w:pBdr>
        <w:tabs>
          <w:tab w:val="center" w:pos="4320"/>
          <w:tab w:val="right" w:pos="8640"/>
        </w:tabs>
        <w:spacing w:after="0" w:line="240" w:lineRule="auto"/>
        <w:rPr>
          <w:rFonts w:ascii="Arial" w:eastAsia="Arial" w:hAnsi="Arial" w:cs="Arial"/>
          <w:b/>
          <w:color w:val="000000"/>
          <w:sz w:val="24"/>
          <w:szCs w:val="24"/>
        </w:rPr>
      </w:pPr>
    </w:p>
    <w:p w14:paraId="241E9790" w14:textId="7F5254E3" w:rsidR="0023303F" w:rsidRPr="0019143A" w:rsidRDefault="0023303F" w:rsidP="0023303F">
      <w:pPr>
        <w:spacing w:after="0" w:line="240" w:lineRule="auto"/>
        <w:rPr>
          <w:rFonts w:ascii="Arial" w:eastAsia="Arial" w:hAnsi="Arial" w:cs="Arial"/>
          <w:b/>
          <w:sz w:val="24"/>
          <w:szCs w:val="24"/>
        </w:rPr>
      </w:pPr>
      <w:r w:rsidRPr="0019143A">
        <w:rPr>
          <w:rFonts w:ascii="Arial" w:eastAsia="Arial" w:hAnsi="Arial" w:cs="Arial"/>
          <w:b/>
          <w:sz w:val="24"/>
          <w:szCs w:val="24"/>
          <w:u w:val="single"/>
        </w:rPr>
        <w:t>Strategic Area I:</w:t>
      </w:r>
      <w:r w:rsidRPr="0019143A">
        <w:rPr>
          <w:rFonts w:ascii="Arial" w:eastAsia="Arial" w:hAnsi="Arial" w:cs="Arial"/>
          <w:b/>
          <w:sz w:val="24"/>
          <w:szCs w:val="24"/>
        </w:rPr>
        <w:t xml:space="preserve"> Serve the membership</w:t>
      </w:r>
      <w:r w:rsidR="007E4E91">
        <w:rPr>
          <w:rFonts w:ascii="Arial" w:eastAsia="Arial" w:hAnsi="Arial" w:cs="Arial"/>
          <w:b/>
          <w:sz w:val="24"/>
          <w:szCs w:val="24"/>
        </w:rPr>
        <w:t>.</w:t>
      </w:r>
    </w:p>
    <w:p w14:paraId="1A288ABD" w14:textId="77777777" w:rsidR="002E1862" w:rsidRPr="0019143A" w:rsidRDefault="002E1862">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4"/>
          <w:szCs w:val="24"/>
        </w:rPr>
      </w:pPr>
    </w:p>
    <w:tbl>
      <w:tblPr>
        <w:tblStyle w:val="a4"/>
        <w:tblW w:w="13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5"/>
        <w:gridCol w:w="8100"/>
      </w:tblGrid>
      <w:tr w:rsidR="00F620C5" w:rsidRPr="0019143A" w14:paraId="61556209" w14:textId="77777777" w:rsidTr="00AC3384">
        <w:tc>
          <w:tcPr>
            <w:tcW w:w="5125" w:type="dxa"/>
          </w:tcPr>
          <w:p w14:paraId="304858E2" w14:textId="77777777" w:rsidR="00F620C5" w:rsidRPr="0019143A" w:rsidRDefault="00F620C5" w:rsidP="00AC3384">
            <w:pPr>
              <w:spacing w:after="0" w:line="240" w:lineRule="auto"/>
              <w:jc w:val="center"/>
              <w:rPr>
                <w:rFonts w:ascii="Arial" w:eastAsia="Arial" w:hAnsi="Arial" w:cs="Arial"/>
              </w:rPr>
            </w:pPr>
            <w:r w:rsidRPr="0019143A">
              <w:rPr>
                <w:rFonts w:ascii="Arial" w:eastAsia="Arial" w:hAnsi="Arial" w:cs="Arial"/>
              </w:rPr>
              <w:t>Goal</w:t>
            </w:r>
          </w:p>
        </w:tc>
        <w:tc>
          <w:tcPr>
            <w:tcW w:w="8100" w:type="dxa"/>
          </w:tcPr>
          <w:p w14:paraId="62869D82" w14:textId="77777777" w:rsidR="00F620C5" w:rsidRPr="0019143A" w:rsidRDefault="00F620C5" w:rsidP="00AC3384">
            <w:pPr>
              <w:spacing w:after="0" w:line="240" w:lineRule="auto"/>
              <w:jc w:val="center"/>
              <w:rPr>
                <w:rFonts w:ascii="Arial" w:eastAsia="Arial" w:hAnsi="Arial" w:cs="Arial"/>
              </w:rPr>
            </w:pPr>
            <w:r w:rsidRPr="0019143A">
              <w:rPr>
                <w:rFonts w:ascii="Arial" w:eastAsia="Arial" w:hAnsi="Arial" w:cs="Arial"/>
              </w:rPr>
              <w:t>Results/Update</w:t>
            </w:r>
          </w:p>
        </w:tc>
      </w:tr>
      <w:tr w:rsidR="00F620C5" w14:paraId="7124F4AD" w14:textId="77777777" w:rsidTr="00AC3384">
        <w:trPr>
          <w:trHeight w:val="260"/>
        </w:trPr>
        <w:tc>
          <w:tcPr>
            <w:tcW w:w="5125" w:type="dxa"/>
          </w:tcPr>
          <w:p w14:paraId="239EDCFF" w14:textId="35C9411D" w:rsidR="00F620C5" w:rsidRPr="0019143A" w:rsidRDefault="00F620C5" w:rsidP="00F620C5">
            <w:pPr>
              <w:numPr>
                <w:ilvl w:val="0"/>
                <w:numId w:val="4"/>
              </w:numPr>
              <w:shd w:val="clear" w:color="auto" w:fill="FFFFFF"/>
              <w:spacing w:after="0"/>
              <w:rPr>
                <w:rFonts w:ascii="Arial" w:hAnsi="Arial" w:cs="Arial"/>
                <w:color w:val="1D2228"/>
              </w:rPr>
            </w:pPr>
            <w:r w:rsidRPr="0019143A">
              <w:rPr>
                <w:rFonts w:ascii="Arial" w:eastAsia="Arial" w:hAnsi="Arial" w:cs="Arial"/>
              </w:rPr>
              <w:t xml:space="preserve">By </w:t>
            </w:r>
            <w:r w:rsidR="007E4E91">
              <w:rPr>
                <w:rFonts w:ascii="Arial" w:eastAsia="Arial" w:hAnsi="Arial" w:cs="Arial"/>
              </w:rPr>
              <w:t>December</w:t>
            </w:r>
            <w:r w:rsidRPr="0019143A">
              <w:rPr>
                <w:rFonts w:ascii="Arial" w:eastAsia="Arial" w:hAnsi="Arial" w:cs="Arial"/>
              </w:rPr>
              <w:t xml:space="preserve"> 31, 202</w:t>
            </w:r>
            <w:r w:rsidR="00B15A4A">
              <w:rPr>
                <w:rFonts w:ascii="Arial" w:eastAsia="Arial" w:hAnsi="Arial" w:cs="Arial"/>
              </w:rPr>
              <w:t>4</w:t>
            </w:r>
            <w:r w:rsidRPr="0019143A">
              <w:rPr>
                <w:rFonts w:ascii="Arial" w:eastAsia="Arial" w:hAnsi="Arial" w:cs="Arial"/>
              </w:rPr>
              <w:t xml:space="preserve">, enhance interactions with the membership through virtual events, corporate relationships, and social media as evidenced by 5% </w:t>
            </w:r>
            <w:r w:rsidR="00B15A4A" w:rsidRPr="0019143A">
              <w:rPr>
                <w:rFonts w:ascii="Arial" w:eastAsia="Arial" w:hAnsi="Arial" w:cs="Arial"/>
              </w:rPr>
              <w:t xml:space="preserve">increase </w:t>
            </w:r>
            <w:r w:rsidR="00B15A4A">
              <w:rPr>
                <w:rFonts w:ascii="Arial" w:eastAsia="Arial" w:hAnsi="Arial" w:cs="Arial"/>
              </w:rPr>
              <w:t xml:space="preserve">to reach </w:t>
            </w:r>
            <w:r w:rsidR="00156055">
              <w:rPr>
                <w:rFonts w:ascii="Arial" w:eastAsia="Arial" w:hAnsi="Arial" w:cs="Arial"/>
              </w:rPr>
              <w:t xml:space="preserve">839 </w:t>
            </w:r>
            <w:r w:rsidRPr="0019143A">
              <w:rPr>
                <w:rFonts w:ascii="Arial" w:eastAsia="Arial" w:hAnsi="Arial" w:cs="Arial"/>
              </w:rPr>
              <w:t xml:space="preserve">in overall licensee membership. </w:t>
            </w:r>
          </w:p>
        </w:tc>
        <w:tc>
          <w:tcPr>
            <w:tcW w:w="8100" w:type="dxa"/>
          </w:tcPr>
          <w:p w14:paraId="2090E16E" w14:textId="08DDD91A" w:rsidR="00256CCA" w:rsidRDefault="00256CCA" w:rsidP="00F620C5">
            <w:pPr>
              <w:spacing w:after="0" w:line="240" w:lineRule="auto"/>
              <w:rPr>
                <w:rFonts w:ascii="Arial" w:eastAsia="Arial" w:hAnsi="Arial" w:cs="Arial"/>
                <w:color w:val="FF0000"/>
                <w:sz w:val="20"/>
                <w:szCs w:val="20"/>
              </w:rPr>
            </w:pPr>
            <w:r>
              <w:rPr>
                <w:rFonts w:ascii="Arial" w:eastAsia="Arial" w:hAnsi="Arial" w:cs="Arial"/>
                <w:color w:val="FF0000"/>
                <w:sz w:val="20"/>
                <w:szCs w:val="20"/>
              </w:rPr>
              <w:t xml:space="preserve"> </w:t>
            </w:r>
          </w:p>
        </w:tc>
      </w:tr>
      <w:tr w:rsidR="00B15A4A" w14:paraId="166C1379" w14:textId="77777777" w:rsidTr="00AC3384">
        <w:trPr>
          <w:trHeight w:val="260"/>
        </w:trPr>
        <w:tc>
          <w:tcPr>
            <w:tcW w:w="5125" w:type="dxa"/>
          </w:tcPr>
          <w:p w14:paraId="26852BE4" w14:textId="1A3AE697" w:rsidR="00B15A4A" w:rsidRPr="00F620C5" w:rsidRDefault="00B15A4A" w:rsidP="00F620C5">
            <w:pPr>
              <w:pStyle w:val="ListParagraph"/>
              <w:numPr>
                <w:ilvl w:val="0"/>
                <w:numId w:val="22"/>
              </w:numPr>
              <w:shd w:val="clear" w:color="auto" w:fill="FFFFFF"/>
              <w:spacing w:after="0"/>
              <w:rPr>
                <w:rFonts w:ascii="Arial" w:eastAsia="Arial" w:hAnsi="Arial" w:cs="Arial"/>
              </w:rPr>
            </w:pPr>
            <w:r>
              <w:rPr>
                <w:rFonts w:ascii="Arial" w:eastAsia="Arial" w:hAnsi="Arial" w:cs="Arial"/>
              </w:rPr>
              <w:t xml:space="preserve">Increase retention of membership from </w:t>
            </w:r>
            <w:r w:rsidR="007E3903">
              <w:rPr>
                <w:rFonts w:ascii="Arial" w:eastAsia="Arial" w:hAnsi="Arial" w:cs="Arial"/>
              </w:rPr>
              <w:t>64</w:t>
            </w:r>
            <w:r>
              <w:rPr>
                <w:rFonts w:ascii="Arial" w:eastAsia="Arial" w:hAnsi="Arial" w:cs="Arial"/>
              </w:rPr>
              <w:t xml:space="preserve">% to </w:t>
            </w:r>
            <w:r w:rsidR="007E3903">
              <w:rPr>
                <w:rFonts w:ascii="Arial" w:eastAsia="Arial" w:hAnsi="Arial" w:cs="Arial"/>
              </w:rPr>
              <w:t>70</w:t>
            </w:r>
            <w:r>
              <w:rPr>
                <w:rFonts w:ascii="Arial" w:eastAsia="Arial" w:hAnsi="Arial" w:cs="Arial"/>
              </w:rPr>
              <w:t>% by the end of 2024</w:t>
            </w:r>
          </w:p>
        </w:tc>
        <w:tc>
          <w:tcPr>
            <w:tcW w:w="8100" w:type="dxa"/>
          </w:tcPr>
          <w:p w14:paraId="5DF18AF0" w14:textId="77777777" w:rsidR="00B15A4A" w:rsidRDefault="00B15A4A" w:rsidP="00F620C5">
            <w:pPr>
              <w:spacing w:after="0" w:line="240" w:lineRule="auto"/>
              <w:rPr>
                <w:rFonts w:ascii="Arial" w:eastAsia="Arial" w:hAnsi="Arial" w:cs="Arial"/>
                <w:color w:val="FF0000"/>
              </w:rPr>
            </w:pPr>
          </w:p>
        </w:tc>
      </w:tr>
      <w:tr w:rsidR="00F620C5" w14:paraId="6FB7D017" w14:textId="77777777" w:rsidTr="00AC3384">
        <w:trPr>
          <w:trHeight w:val="260"/>
        </w:trPr>
        <w:tc>
          <w:tcPr>
            <w:tcW w:w="5125" w:type="dxa"/>
          </w:tcPr>
          <w:p w14:paraId="31CB8822" w14:textId="654B9530" w:rsidR="00F620C5" w:rsidRPr="00F620C5" w:rsidRDefault="00F620C5" w:rsidP="00F620C5">
            <w:pPr>
              <w:pStyle w:val="ListParagraph"/>
              <w:numPr>
                <w:ilvl w:val="0"/>
                <w:numId w:val="22"/>
              </w:numPr>
              <w:shd w:val="clear" w:color="auto" w:fill="FFFFFF"/>
              <w:spacing w:after="0"/>
              <w:rPr>
                <w:rFonts w:ascii="Arial" w:eastAsia="Arial" w:hAnsi="Arial" w:cs="Arial"/>
              </w:rPr>
            </w:pPr>
            <w:r w:rsidRPr="00F620C5">
              <w:rPr>
                <w:rFonts w:ascii="Arial" w:eastAsia="Arial" w:hAnsi="Arial" w:cs="Arial"/>
              </w:rPr>
              <w:t>Each district chair will create 1 event per year for students and early practitioners.</w:t>
            </w:r>
          </w:p>
        </w:tc>
        <w:tc>
          <w:tcPr>
            <w:tcW w:w="8100" w:type="dxa"/>
          </w:tcPr>
          <w:p w14:paraId="683260C8" w14:textId="12CED5FD" w:rsidR="00256CCA" w:rsidRPr="008A2C3E" w:rsidRDefault="00256CCA" w:rsidP="00F620C5">
            <w:pPr>
              <w:spacing w:after="0" w:line="240" w:lineRule="auto"/>
              <w:rPr>
                <w:rFonts w:ascii="Arial" w:eastAsia="Arial" w:hAnsi="Arial" w:cs="Arial"/>
                <w:color w:val="FF0000"/>
              </w:rPr>
            </w:pPr>
          </w:p>
        </w:tc>
      </w:tr>
      <w:tr w:rsidR="00F620C5" w:rsidRPr="0019143A" w14:paraId="7FC69ADD" w14:textId="77777777" w:rsidTr="00AC3384">
        <w:trPr>
          <w:trHeight w:val="260"/>
        </w:trPr>
        <w:tc>
          <w:tcPr>
            <w:tcW w:w="5125" w:type="dxa"/>
          </w:tcPr>
          <w:p w14:paraId="26FDB51F" w14:textId="556A5692" w:rsidR="00F620C5" w:rsidRPr="00F620C5" w:rsidRDefault="00F620C5" w:rsidP="00F620C5">
            <w:pPr>
              <w:pStyle w:val="ListParagraph"/>
              <w:numPr>
                <w:ilvl w:val="0"/>
                <w:numId w:val="22"/>
              </w:numPr>
              <w:shd w:val="clear" w:color="auto" w:fill="FFFFFF"/>
              <w:spacing w:after="0"/>
              <w:rPr>
                <w:rFonts w:ascii="Arial" w:hAnsi="Arial" w:cs="Arial"/>
                <w:color w:val="1D2228"/>
              </w:rPr>
            </w:pPr>
            <w:r w:rsidRPr="00F620C5">
              <w:rPr>
                <w:rFonts w:ascii="Arial" w:eastAsia="Arial" w:hAnsi="Arial" w:cs="Arial"/>
              </w:rPr>
              <w:t xml:space="preserve">Membership Committee to host 1-2 membership drives to promote membership of students and practitioners.  </w:t>
            </w:r>
          </w:p>
        </w:tc>
        <w:tc>
          <w:tcPr>
            <w:tcW w:w="8100" w:type="dxa"/>
          </w:tcPr>
          <w:p w14:paraId="6E1A3DED" w14:textId="552F84F3" w:rsidR="00F620C5" w:rsidRPr="0019143A" w:rsidRDefault="00F620C5" w:rsidP="00F620C5">
            <w:pPr>
              <w:spacing w:after="0" w:line="240" w:lineRule="auto"/>
              <w:rPr>
                <w:rFonts w:ascii="Arial" w:eastAsia="Arial" w:hAnsi="Arial" w:cs="Arial"/>
                <w:color w:val="FF0000"/>
              </w:rPr>
            </w:pPr>
          </w:p>
        </w:tc>
      </w:tr>
      <w:tr w:rsidR="00F620C5" w:rsidRPr="0019143A" w14:paraId="7C659661" w14:textId="77777777" w:rsidTr="00AC3384">
        <w:trPr>
          <w:trHeight w:val="260"/>
        </w:trPr>
        <w:tc>
          <w:tcPr>
            <w:tcW w:w="5125" w:type="dxa"/>
          </w:tcPr>
          <w:p w14:paraId="2C90962D" w14:textId="7DD79DCB" w:rsidR="00F620C5" w:rsidRPr="00F620C5" w:rsidRDefault="00F620C5" w:rsidP="00F620C5">
            <w:pPr>
              <w:pStyle w:val="ListParagraph"/>
              <w:numPr>
                <w:ilvl w:val="0"/>
                <w:numId w:val="22"/>
              </w:numPr>
              <w:shd w:val="clear" w:color="auto" w:fill="FFFFFF"/>
              <w:spacing w:after="0"/>
              <w:rPr>
                <w:rFonts w:ascii="Arial" w:hAnsi="Arial" w:cs="Arial"/>
                <w:color w:val="1D2228"/>
              </w:rPr>
            </w:pPr>
            <w:r w:rsidRPr="00F620C5">
              <w:rPr>
                <w:rFonts w:ascii="Arial" w:eastAsia="Arial" w:hAnsi="Arial" w:cs="Arial"/>
              </w:rPr>
              <w:t>Membership Committee will analyze, make recommendations, and implement marketing changes to seek new members by the end of Q1 202</w:t>
            </w:r>
            <w:r w:rsidR="00B97064">
              <w:rPr>
                <w:rFonts w:ascii="Arial" w:eastAsia="Arial" w:hAnsi="Arial" w:cs="Arial"/>
              </w:rPr>
              <w:t>4</w:t>
            </w:r>
            <w:r w:rsidRPr="00F620C5">
              <w:rPr>
                <w:rFonts w:ascii="Arial" w:eastAsia="Arial" w:hAnsi="Arial" w:cs="Arial"/>
              </w:rPr>
              <w:t>.</w:t>
            </w:r>
          </w:p>
        </w:tc>
        <w:tc>
          <w:tcPr>
            <w:tcW w:w="8100" w:type="dxa"/>
          </w:tcPr>
          <w:p w14:paraId="41DDFDFC" w14:textId="707D4D3D" w:rsidR="00F620C5" w:rsidRPr="0019143A" w:rsidRDefault="00F620C5" w:rsidP="00F620C5">
            <w:pPr>
              <w:spacing w:after="0" w:line="240" w:lineRule="auto"/>
              <w:rPr>
                <w:rFonts w:ascii="Arial" w:eastAsia="Arial" w:hAnsi="Arial" w:cs="Arial"/>
                <w:color w:val="FF0000"/>
              </w:rPr>
            </w:pPr>
          </w:p>
        </w:tc>
      </w:tr>
      <w:tr w:rsidR="00F620C5" w:rsidRPr="0019143A" w14:paraId="3A7F0CB5" w14:textId="77777777" w:rsidTr="00AC3384">
        <w:trPr>
          <w:trHeight w:val="260"/>
        </w:trPr>
        <w:tc>
          <w:tcPr>
            <w:tcW w:w="5125" w:type="dxa"/>
          </w:tcPr>
          <w:p w14:paraId="07E61F4B" w14:textId="305A6689" w:rsidR="00F620C5" w:rsidRPr="00F620C5" w:rsidRDefault="00B15A4A" w:rsidP="00F620C5">
            <w:pPr>
              <w:pStyle w:val="ListParagraph"/>
              <w:numPr>
                <w:ilvl w:val="0"/>
                <w:numId w:val="22"/>
              </w:numPr>
              <w:spacing w:after="0"/>
              <w:rPr>
                <w:rFonts w:ascii="Arial" w:eastAsia="Arial" w:hAnsi="Arial" w:cs="Arial"/>
              </w:rPr>
            </w:pPr>
            <w:r>
              <w:rPr>
                <w:rFonts w:ascii="Arial" w:hAnsi="Arial" w:cs="Arial"/>
              </w:rPr>
              <w:t xml:space="preserve">Assess and determine viability of the </w:t>
            </w:r>
            <w:r w:rsidRPr="00F620C5">
              <w:rPr>
                <w:rFonts w:ascii="Arial" w:hAnsi="Arial" w:cs="Arial"/>
              </w:rPr>
              <w:t>Social</w:t>
            </w:r>
            <w:r w:rsidR="00F620C5" w:rsidRPr="00F620C5">
              <w:rPr>
                <w:rFonts w:ascii="Arial" w:hAnsi="Arial" w:cs="Arial"/>
              </w:rPr>
              <w:t xml:space="preserve"> </w:t>
            </w:r>
            <w:r w:rsidR="004D7FB6">
              <w:rPr>
                <w:rFonts w:ascii="Arial" w:hAnsi="Arial" w:cs="Arial"/>
              </w:rPr>
              <w:t xml:space="preserve">Media </w:t>
            </w:r>
            <w:r w:rsidR="00F620C5" w:rsidRPr="00F620C5">
              <w:rPr>
                <w:rFonts w:ascii="Arial" w:hAnsi="Arial" w:cs="Arial"/>
              </w:rPr>
              <w:t xml:space="preserve">ad hoc </w:t>
            </w:r>
            <w:r>
              <w:rPr>
                <w:rFonts w:ascii="Arial" w:hAnsi="Arial" w:cs="Arial"/>
              </w:rPr>
              <w:t xml:space="preserve">committee to become a standing committee by the end of Q1 2024.  </w:t>
            </w:r>
          </w:p>
        </w:tc>
        <w:tc>
          <w:tcPr>
            <w:tcW w:w="8100" w:type="dxa"/>
          </w:tcPr>
          <w:p w14:paraId="224B36B9" w14:textId="0364A454" w:rsidR="00B97064" w:rsidRPr="0019143A" w:rsidRDefault="00B97064" w:rsidP="00F620C5">
            <w:pPr>
              <w:spacing w:after="0" w:line="240" w:lineRule="auto"/>
              <w:rPr>
                <w:rFonts w:ascii="Arial" w:eastAsia="Arial" w:hAnsi="Arial" w:cs="Arial"/>
                <w:color w:val="FF0000"/>
              </w:rPr>
            </w:pPr>
          </w:p>
        </w:tc>
      </w:tr>
      <w:tr w:rsidR="00F620C5" w:rsidRPr="0019143A" w14:paraId="258C6B7E" w14:textId="77777777" w:rsidTr="00AC3384">
        <w:trPr>
          <w:trHeight w:val="260"/>
        </w:trPr>
        <w:tc>
          <w:tcPr>
            <w:tcW w:w="5125" w:type="dxa"/>
          </w:tcPr>
          <w:p w14:paraId="164A9E7F" w14:textId="2EFAD760" w:rsidR="00F620C5" w:rsidRPr="00F620C5" w:rsidRDefault="007E3903" w:rsidP="00F620C5">
            <w:pPr>
              <w:pStyle w:val="ListParagraph"/>
              <w:numPr>
                <w:ilvl w:val="0"/>
                <w:numId w:val="22"/>
              </w:numPr>
              <w:spacing w:after="0"/>
              <w:rPr>
                <w:rFonts w:ascii="Arial" w:eastAsia="Arial" w:hAnsi="Arial" w:cs="Arial"/>
              </w:rPr>
            </w:pPr>
            <w:r>
              <w:rPr>
                <w:rFonts w:ascii="Arial" w:hAnsi="Arial" w:cs="Arial"/>
                <w:color w:val="000000"/>
              </w:rPr>
              <w:t>Social Media ad hoc committee chair will create standard operating procedures to further define processes for social media that include district involvement and make recommendations for changes in policies and procedures by the end of Q2</w:t>
            </w:r>
          </w:p>
        </w:tc>
        <w:tc>
          <w:tcPr>
            <w:tcW w:w="8100" w:type="dxa"/>
          </w:tcPr>
          <w:p w14:paraId="47AF2788" w14:textId="3E454B40" w:rsidR="00B97064" w:rsidRPr="0019143A" w:rsidRDefault="00B97064" w:rsidP="00F620C5">
            <w:pPr>
              <w:spacing w:after="0" w:line="240" w:lineRule="auto"/>
              <w:rPr>
                <w:rFonts w:ascii="Arial" w:eastAsia="Arial" w:hAnsi="Arial" w:cs="Arial"/>
                <w:color w:val="FF0000"/>
              </w:rPr>
            </w:pPr>
          </w:p>
        </w:tc>
      </w:tr>
    </w:tbl>
    <w:p w14:paraId="7F4884BA" w14:textId="77777777" w:rsidR="002E1862" w:rsidRPr="0019143A" w:rsidRDefault="002E1862">
      <w:pPr>
        <w:spacing w:after="0" w:line="240" w:lineRule="auto"/>
        <w:rPr>
          <w:rFonts w:ascii="Arial" w:eastAsia="Arial" w:hAnsi="Arial" w:cs="Arial"/>
          <w:b/>
          <w:sz w:val="24"/>
          <w:szCs w:val="24"/>
        </w:rPr>
      </w:pPr>
    </w:p>
    <w:p w14:paraId="1C18C6BD" w14:textId="77777777" w:rsidR="002E1862" w:rsidRPr="0019143A" w:rsidRDefault="002E1862">
      <w:pPr>
        <w:spacing w:after="0" w:line="240" w:lineRule="auto"/>
        <w:rPr>
          <w:rFonts w:ascii="Arial" w:eastAsia="Arial" w:hAnsi="Arial" w:cs="Arial"/>
        </w:rPr>
      </w:pPr>
    </w:p>
    <w:p w14:paraId="0C84DE2B" w14:textId="77777777" w:rsidR="0019143A" w:rsidRDefault="0019143A">
      <w:pPr>
        <w:spacing w:after="0" w:line="240" w:lineRule="auto"/>
        <w:rPr>
          <w:rFonts w:ascii="Arial" w:eastAsia="Arial" w:hAnsi="Arial" w:cs="Arial"/>
          <w:b/>
          <w:sz w:val="24"/>
          <w:szCs w:val="24"/>
          <w:u w:val="single"/>
        </w:rPr>
      </w:pPr>
    </w:p>
    <w:p w14:paraId="763A9833" w14:textId="604BC746" w:rsidR="002E1862" w:rsidRPr="0019143A" w:rsidRDefault="003A2131">
      <w:pPr>
        <w:spacing w:after="0" w:line="240" w:lineRule="auto"/>
        <w:rPr>
          <w:rFonts w:ascii="Arial" w:eastAsia="Arial" w:hAnsi="Arial" w:cs="Arial"/>
          <w:b/>
          <w:sz w:val="24"/>
          <w:szCs w:val="24"/>
        </w:rPr>
      </w:pPr>
      <w:r w:rsidRPr="0019143A">
        <w:rPr>
          <w:rFonts w:ascii="Arial" w:eastAsia="Arial" w:hAnsi="Arial" w:cs="Arial"/>
          <w:b/>
          <w:sz w:val="24"/>
          <w:szCs w:val="24"/>
          <w:u w:val="single"/>
        </w:rPr>
        <w:t>Strategic Area II:</w:t>
      </w:r>
      <w:r w:rsidRPr="0019143A">
        <w:rPr>
          <w:rFonts w:ascii="Arial" w:eastAsia="Arial" w:hAnsi="Arial" w:cs="Arial"/>
          <w:b/>
          <w:sz w:val="24"/>
          <w:szCs w:val="24"/>
        </w:rPr>
        <w:t xml:space="preserve"> </w:t>
      </w:r>
      <w:r w:rsidRPr="0019143A">
        <w:rPr>
          <w:rFonts w:ascii="Arial" w:eastAsia="Arial" w:hAnsi="Arial" w:cs="Arial"/>
          <w:b/>
          <w:color w:val="000000"/>
          <w:sz w:val="24"/>
          <w:szCs w:val="24"/>
        </w:rPr>
        <w:t xml:space="preserve">Serve the Profession and the Consumer It Serves </w:t>
      </w:r>
    </w:p>
    <w:p w14:paraId="40EDD40A" w14:textId="77777777" w:rsidR="002E1862" w:rsidRPr="0019143A" w:rsidRDefault="002E1862">
      <w:pPr>
        <w:spacing w:after="0" w:line="240" w:lineRule="auto"/>
        <w:rPr>
          <w:rFonts w:ascii="Arial" w:eastAsia="Arial" w:hAnsi="Arial" w:cs="Arial"/>
          <w:color w:val="000000"/>
          <w:sz w:val="24"/>
          <w:szCs w:val="24"/>
        </w:rPr>
      </w:pPr>
    </w:p>
    <w:tbl>
      <w:tblPr>
        <w:tblStyle w:val="a4"/>
        <w:tblW w:w="13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5"/>
        <w:gridCol w:w="8100"/>
      </w:tblGrid>
      <w:tr w:rsidR="002E1862" w:rsidRPr="0019143A" w14:paraId="1117B5C6" w14:textId="77777777">
        <w:tc>
          <w:tcPr>
            <w:tcW w:w="5125" w:type="dxa"/>
          </w:tcPr>
          <w:p w14:paraId="7EEC52AE" w14:textId="77777777" w:rsidR="002E1862" w:rsidRPr="0019143A" w:rsidRDefault="003A2131">
            <w:pPr>
              <w:spacing w:after="0" w:line="240" w:lineRule="auto"/>
              <w:jc w:val="center"/>
              <w:rPr>
                <w:rFonts w:ascii="Arial" w:eastAsia="Arial" w:hAnsi="Arial" w:cs="Arial"/>
              </w:rPr>
            </w:pPr>
            <w:r w:rsidRPr="0019143A">
              <w:rPr>
                <w:rFonts w:ascii="Arial" w:eastAsia="Arial" w:hAnsi="Arial" w:cs="Arial"/>
              </w:rPr>
              <w:t>Goal</w:t>
            </w:r>
          </w:p>
        </w:tc>
        <w:tc>
          <w:tcPr>
            <w:tcW w:w="8100" w:type="dxa"/>
          </w:tcPr>
          <w:p w14:paraId="4B2CCF40" w14:textId="77777777" w:rsidR="002E1862" w:rsidRPr="0019143A" w:rsidRDefault="003A2131">
            <w:pPr>
              <w:spacing w:after="0" w:line="240" w:lineRule="auto"/>
              <w:jc w:val="center"/>
              <w:rPr>
                <w:rFonts w:ascii="Arial" w:eastAsia="Arial" w:hAnsi="Arial" w:cs="Arial"/>
              </w:rPr>
            </w:pPr>
            <w:r w:rsidRPr="0019143A">
              <w:rPr>
                <w:rFonts w:ascii="Arial" w:eastAsia="Arial" w:hAnsi="Arial" w:cs="Arial"/>
              </w:rPr>
              <w:t>Results/Update</w:t>
            </w:r>
          </w:p>
        </w:tc>
      </w:tr>
      <w:tr w:rsidR="001B06C5" w:rsidRPr="0019143A" w14:paraId="3D4D7586" w14:textId="77777777">
        <w:trPr>
          <w:trHeight w:val="260"/>
        </w:trPr>
        <w:tc>
          <w:tcPr>
            <w:tcW w:w="5125" w:type="dxa"/>
          </w:tcPr>
          <w:p w14:paraId="0F5EA074" w14:textId="0BCCF1CD" w:rsidR="001B06C5" w:rsidRPr="0019143A" w:rsidRDefault="00B15A4A" w:rsidP="00F620C5">
            <w:pPr>
              <w:numPr>
                <w:ilvl w:val="0"/>
                <w:numId w:val="23"/>
              </w:numPr>
              <w:shd w:val="clear" w:color="auto" w:fill="FFFFFF"/>
              <w:spacing w:after="0"/>
              <w:rPr>
                <w:rFonts w:ascii="Arial" w:hAnsi="Arial" w:cs="Arial"/>
                <w:color w:val="1D2228"/>
              </w:rPr>
            </w:pPr>
            <w:r>
              <w:rPr>
                <w:rFonts w:ascii="Arial" w:eastAsia="Arial" w:hAnsi="Arial" w:cs="Arial"/>
              </w:rPr>
              <w:lastRenderedPageBreak/>
              <w:t xml:space="preserve">Re-engage practice area forums for 2024 conference by marketing prior to conference and securing facilitators for each area.  </w:t>
            </w:r>
          </w:p>
        </w:tc>
        <w:tc>
          <w:tcPr>
            <w:tcW w:w="8100" w:type="dxa"/>
          </w:tcPr>
          <w:p w14:paraId="3C3E4E45" w14:textId="4F163FBF" w:rsidR="00B15A4A" w:rsidRDefault="00B15A4A" w:rsidP="00B15A4A">
            <w:pPr>
              <w:spacing w:after="0" w:line="240" w:lineRule="auto"/>
              <w:rPr>
                <w:rFonts w:ascii="Arial" w:eastAsia="Arial" w:hAnsi="Arial" w:cs="Arial"/>
                <w:color w:val="FF0000"/>
                <w:sz w:val="20"/>
                <w:szCs w:val="20"/>
              </w:rPr>
            </w:pPr>
          </w:p>
        </w:tc>
      </w:tr>
      <w:tr w:rsidR="001B06C5" w:rsidRPr="0019143A" w14:paraId="31162488" w14:textId="77777777">
        <w:trPr>
          <w:trHeight w:val="260"/>
        </w:trPr>
        <w:tc>
          <w:tcPr>
            <w:tcW w:w="5125" w:type="dxa"/>
          </w:tcPr>
          <w:p w14:paraId="676E08AF" w14:textId="1ED8F55B" w:rsidR="001B06C5" w:rsidRPr="0019143A" w:rsidRDefault="001B06C5" w:rsidP="00F620C5">
            <w:pPr>
              <w:numPr>
                <w:ilvl w:val="0"/>
                <w:numId w:val="23"/>
              </w:numPr>
              <w:shd w:val="clear" w:color="auto" w:fill="FFFFFF"/>
              <w:spacing w:after="0"/>
              <w:rPr>
                <w:rFonts w:ascii="Arial" w:eastAsia="Arial" w:hAnsi="Arial" w:cs="Arial"/>
              </w:rPr>
            </w:pPr>
            <w:r>
              <w:rPr>
                <w:rFonts w:ascii="Arial" w:eastAsia="Arial" w:hAnsi="Arial" w:cs="Arial"/>
              </w:rPr>
              <w:t>Assess viability and make recommendations of alternat</w:t>
            </w:r>
            <w:r w:rsidR="009416FD">
              <w:rPr>
                <w:rFonts w:ascii="Arial" w:eastAsia="Arial" w:hAnsi="Arial" w:cs="Arial"/>
              </w:rPr>
              <w:t>e</w:t>
            </w:r>
            <w:r>
              <w:rPr>
                <w:rFonts w:ascii="Arial" w:eastAsia="Arial" w:hAnsi="Arial" w:cs="Arial"/>
              </w:rPr>
              <w:t xml:space="preserve"> </w:t>
            </w:r>
            <w:r w:rsidR="00B15A4A">
              <w:rPr>
                <w:rFonts w:ascii="Arial" w:eastAsia="Arial" w:hAnsi="Arial" w:cs="Arial"/>
              </w:rPr>
              <w:t>tracks for</w:t>
            </w:r>
            <w:r>
              <w:rPr>
                <w:rFonts w:ascii="Arial" w:eastAsia="Arial" w:hAnsi="Arial" w:cs="Arial"/>
              </w:rPr>
              <w:t xml:space="preserve"> </w:t>
            </w:r>
            <w:r w:rsidR="00B15A4A">
              <w:rPr>
                <w:rFonts w:ascii="Arial" w:eastAsia="Arial" w:hAnsi="Arial" w:cs="Arial"/>
              </w:rPr>
              <w:t xml:space="preserve">2024 </w:t>
            </w:r>
            <w:r>
              <w:rPr>
                <w:rFonts w:ascii="Arial" w:eastAsia="Arial" w:hAnsi="Arial" w:cs="Arial"/>
              </w:rPr>
              <w:t>conference</w:t>
            </w:r>
            <w:r w:rsidR="00B15A4A">
              <w:rPr>
                <w:rFonts w:ascii="Arial" w:eastAsia="Arial" w:hAnsi="Arial" w:cs="Arial"/>
              </w:rPr>
              <w:t xml:space="preserve">.  </w:t>
            </w:r>
          </w:p>
        </w:tc>
        <w:tc>
          <w:tcPr>
            <w:tcW w:w="8100" w:type="dxa"/>
          </w:tcPr>
          <w:p w14:paraId="03500D2D" w14:textId="0F5801AF" w:rsidR="001B06C5" w:rsidRDefault="001B06C5" w:rsidP="001B06C5">
            <w:pPr>
              <w:spacing w:after="0" w:line="240" w:lineRule="auto"/>
              <w:rPr>
                <w:rFonts w:ascii="Arial" w:eastAsia="Arial" w:hAnsi="Arial" w:cs="Arial"/>
                <w:color w:val="FF0000"/>
              </w:rPr>
            </w:pPr>
          </w:p>
        </w:tc>
      </w:tr>
      <w:tr w:rsidR="001B06C5" w:rsidRPr="0019143A" w14:paraId="54908B20" w14:textId="77777777">
        <w:trPr>
          <w:trHeight w:val="260"/>
        </w:trPr>
        <w:tc>
          <w:tcPr>
            <w:tcW w:w="5125" w:type="dxa"/>
          </w:tcPr>
          <w:p w14:paraId="1788EE69" w14:textId="035AE95E" w:rsidR="001B06C5" w:rsidRPr="007E3903" w:rsidRDefault="007E3903" w:rsidP="007E3903">
            <w:pPr>
              <w:pStyle w:val="ListParagraph"/>
              <w:numPr>
                <w:ilvl w:val="0"/>
                <w:numId w:val="23"/>
              </w:numPr>
              <w:spacing w:after="0"/>
              <w:rPr>
                <w:rFonts w:ascii="Arial" w:eastAsia="Arial" w:hAnsi="Arial" w:cs="Arial"/>
              </w:rPr>
            </w:pPr>
            <w:r w:rsidRPr="007E3903">
              <w:rPr>
                <w:rFonts w:ascii="Arial" w:hAnsi="Arial" w:cs="Arial"/>
                <w:color w:val="1D2228"/>
              </w:rPr>
              <w:t xml:space="preserve">Analyze the desires of TOTA members and provide at least 1 solution for desired requests by the end of Q2.  </w:t>
            </w:r>
          </w:p>
        </w:tc>
        <w:tc>
          <w:tcPr>
            <w:tcW w:w="8100" w:type="dxa"/>
          </w:tcPr>
          <w:p w14:paraId="53148073" w14:textId="67B6774B" w:rsidR="001B06C5" w:rsidRPr="00536FAE" w:rsidRDefault="001B06C5" w:rsidP="001B06C5">
            <w:pPr>
              <w:spacing w:after="0" w:line="240" w:lineRule="auto"/>
              <w:rPr>
                <w:rFonts w:ascii="Arial" w:eastAsia="Arial" w:hAnsi="Arial" w:cs="Arial"/>
                <w:color w:val="FF0000"/>
                <w:sz w:val="20"/>
                <w:szCs w:val="20"/>
              </w:rPr>
            </w:pPr>
          </w:p>
        </w:tc>
      </w:tr>
      <w:tr w:rsidR="001B06C5" w:rsidRPr="0019143A" w14:paraId="4BC3579E" w14:textId="77777777">
        <w:trPr>
          <w:trHeight w:val="260"/>
        </w:trPr>
        <w:tc>
          <w:tcPr>
            <w:tcW w:w="5125" w:type="dxa"/>
          </w:tcPr>
          <w:p w14:paraId="6E58E2B5" w14:textId="71E27841" w:rsidR="001B06C5" w:rsidRPr="007E3903" w:rsidRDefault="007E3903" w:rsidP="007E3903">
            <w:pPr>
              <w:pStyle w:val="ListParagraph"/>
              <w:numPr>
                <w:ilvl w:val="1"/>
                <w:numId w:val="23"/>
              </w:numPr>
              <w:shd w:val="clear" w:color="auto" w:fill="FFFFFF"/>
              <w:spacing w:after="0"/>
              <w:rPr>
                <w:rFonts w:ascii="Arial" w:hAnsi="Arial" w:cs="Arial"/>
                <w:color w:val="1D2228"/>
              </w:rPr>
            </w:pPr>
            <w:r w:rsidRPr="007E3903">
              <w:rPr>
                <w:rFonts w:ascii="Arial" w:hAnsi="Arial" w:cs="Arial"/>
                <w:color w:val="000000"/>
              </w:rPr>
              <w:t xml:space="preserve">The development chair will determine the process for establishing communities </w:t>
            </w:r>
            <w:r w:rsidR="004D7FB6">
              <w:rPr>
                <w:rFonts w:ascii="Arial" w:hAnsi="Arial" w:cs="Arial"/>
                <w:color w:val="000000"/>
              </w:rPr>
              <w:t xml:space="preserve">of </w:t>
            </w:r>
            <w:r w:rsidRPr="007E3903">
              <w:rPr>
                <w:rFonts w:ascii="Arial" w:hAnsi="Arial" w:cs="Arial"/>
                <w:color w:val="000000"/>
              </w:rPr>
              <w:t>practice by the end of Q2.</w:t>
            </w:r>
          </w:p>
        </w:tc>
        <w:tc>
          <w:tcPr>
            <w:tcW w:w="8100" w:type="dxa"/>
          </w:tcPr>
          <w:p w14:paraId="62FE2AF8" w14:textId="5E0B5C80" w:rsidR="001B06C5" w:rsidRPr="0019143A" w:rsidRDefault="001B06C5" w:rsidP="001B06C5">
            <w:pPr>
              <w:spacing w:after="0" w:line="240" w:lineRule="auto"/>
              <w:rPr>
                <w:rFonts w:ascii="Arial" w:eastAsia="Arial" w:hAnsi="Arial" w:cs="Arial"/>
                <w:color w:val="FF0000"/>
              </w:rPr>
            </w:pPr>
          </w:p>
        </w:tc>
      </w:tr>
    </w:tbl>
    <w:p w14:paraId="4836322D" w14:textId="77777777" w:rsidR="002E1862" w:rsidRPr="0019143A" w:rsidRDefault="002E1862">
      <w:pPr>
        <w:spacing w:after="0" w:line="240" w:lineRule="auto"/>
        <w:rPr>
          <w:rFonts w:ascii="Arial" w:eastAsia="Arial" w:hAnsi="Arial" w:cs="Arial"/>
          <w:sz w:val="24"/>
          <w:szCs w:val="24"/>
        </w:rPr>
      </w:pPr>
    </w:p>
    <w:p w14:paraId="622FC33C" w14:textId="148F8021" w:rsidR="002E1862" w:rsidRPr="0019143A" w:rsidRDefault="003A2131">
      <w:pPr>
        <w:spacing w:after="0" w:line="240" w:lineRule="auto"/>
        <w:rPr>
          <w:rFonts w:ascii="Arial" w:eastAsia="Arial" w:hAnsi="Arial" w:cs="Arial"/>
          <w:b/>
          <w:sz w:val="24"/>
          <w:szCs w:val="24"/>
        </w:rPr>
      </w:pPr>
      <w:r w:rsidRPr="0019143A">
        <w:rPr>
          <w:rFonts w:ascii="Arial" w:eastAsia="Arial" w:hAnsi="Arial" w:cs="Arial"/>
          <w:b/>
          <w:sz w:val="24"/>
          <w:szCs w:val="24"/>
          <w:u w:val="single"/>
        </w:rPr>
        <w:t>Strategic Area III:</w:t>
      </w:r>
      <w:r w:rsidRPr="0019143A">
        <w:rPr>
          <w:rFonts w:ascii="Arial" w:eastAsia="Arial" w:hAnsi="Arial" w:cs="Arial"/>
          <w:b/>
          <w:sz w:val="24"/>
          <w:szCs w:val="24"/>
        </w:rPr>
        <w:t xml:space="preserve"> Maintain a viable organization</w:t>
      </w:r>
      <w:r w:rsidRPr="0019143A">
        <w:rPr>
          <w:rFonts w:ascii="Arial" w:eastAsia="Arial" w:hAnsi="Arial" w:cs="Arial"/>
          <w:b/>
          <w:color w:val="000000"/>
          <w:sz w:val="24"/>
          <w:szCs w:val="24"/>
        </w:rPr>
        <w:t xml:space="preserve"> which supports its purpose, objectives, and functions,</w:t>
      </w:r>
      <w:r w:rsidRPr="0019143A">
        <w:rPr>
          <w:rFonts w:ascii="Arial" w:eastAsia="Arial" w:hAnsi="Arial" w:cs="Arial"/>
          <w:b/>
          <w:sz w:val="24"/>
          <w:szCs w:val="24"/>
        </w:rPr>
        <w:t xml:space="preserve"> through improved processes and use of a diverse pool of volunteers</w:t>
      </w:r>
      <w:r w:rsidR="007E4E91">
        <w:rPr>
          <w:rFonts w:ascii="Arial" w:eastAsia="Arial" w:hAnsi="Arial" w:cs="Arial"/>
          <w:b/>
          <w:sz w:val="24"/>
          <w:szCs w:val="24"/>
        </w:rPr>
        <w:t>.</w:t>
      </w:r>
    </w:p>
    <w:p w14:paraId="74E629D4" w14:textId="3CDFA6C6" w:rsidR="00EF3508" w:rsidRPr="0019143A" w:rsidRDefault="00EF3508">
      <w:pPr>
        <w:spacing w:after="0" w:line="240" w:lineRule="auto"/>
        <w:rPr>
          <w:rFonts w:ascii="Arial" w:eastAsia="Arial" w:hAnsi="Arial" w:cs="Arial"/>
          <w:b/>
          <w:sz w:val="24"/>
          <w:szCs w:val="24"/>
        </w:rPr>
      </w:pPr>
    </w:p>
    <w:tbl>
      <w:tblPr>
        <w:tblStyle w:val="a4"/>
        <w:tblW w:w="13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5"/>
        <w:gridCol w:w="8100"/>
      </w:tblGrid>
      <w:tr w:rsidR="00EF3508" w:rsidRPr="0019143A" w14:paraId="45D06BA5" w14:textId="77777777" w:rsidTr="00CF37EF">
        <w:tc>
          <w:tcPr>
            <w:tcW w:w="5125" w:type="dxa"/>
          </w:tcPr>
          <w:p w14:paraId="094063BF" w14:textId="77777777" w:rsidR="00EF3508" w:rsidRPr="0019143A" w:rsidRDefault="00EF3508" w:rsidP="00CF37EF">
            <w:pPr>
              <w:spacing w:after="0" w:line="240" w:lineRule="auto"/>
              <w:jc w:val="center"/>
              <w:rPr>
                <w:rFonts w:ascii="Arial" w:eastAsia="Arial" w:hAnsi="Arial" w:cs="Arial"/>
              </w:rPr>
            </w:pPr>
            <w:r w:rsidRPr="0019143A">
              <w:rPr>
                <w:rFonts w:ascii="Arial" w:eastAsia="Arial" w:hAnsi="Arial" w:cs="Arial"/>
              </w:rPr>
              <w:t>Goal</w:t>
            </w:r>
          </w:p>
        </w:tc>
        <w:tc>
          <w:tcPr>
            <w:tcW w:w="8100" w:type="dxa"/>
          </w:tcPr>
          <w:p w14:paraId="063F4F43" w14:textId="77777777" w:rsidR="00EF3508" w:rsidRPr="0019143A" w:rsidRDefault="00EF3508" w:rsidP="00CF37EF">
            <w:pPr>
              <w:spacing w:after="0" w:line="240" w:lineRule="auto"/>
              <w:jc w:val="center"/>
              <w:rPr>
                <w:rFonts w:ascii="Arial" w:eastAsia="Arial" w:hAnsi="Arial" w:cs="Arial"/>
              </w:rPr>
            </w:pPr>
            <w:r w:rsidRPr="0019143A">
              <w:rPr>
                <w:rFonts w:ascii="Arial" w:eastAsia="Arial" w:hAnsi="Arial" w:cs="Arial"/>
              </w:rPr>
              <w:t>Results/Update</w:t>
            </w:r>
          </w:p>
        </w:tc>
      </w:tr>
      <w:tr w:rsidR="00EF3508" w:rsidRPr="0019143A" w14:paraId="54DAD1BD" w14:textId="77777777" w:rsidTr="00CF37EF">
        <w:trPr>
          <w:trHeight w:val="260"/>
        </w:trPr>
        <w:tc>
          <w:tcPr>
            <w:tcW w:w="5125" w:type="dxa"/>
          </w:tcPr>
          <w:p w14:paraId="11BBE385" w14:textId="1794B685" w:rsidR="00EF3508" w:rsidRPr="0019143A" w:rsidRDefault="00EF3508" w:rsidP="00CF37EF">
            <w:pPr>
              <w:spacing w:after="0"/>
              <w:rPr>
                <w:rFonts w:ascii="Arial" w:eastAsia="Arial" w:hAnsi="Arial" w:cs="Arial"/>
              </w:rPr>
            </w:pPr>
            <w:r w:rsidRPr="0019143A">
              <w:rPr>
                <w:rFonts w:ascii="Arial" w:eastAsia="Arial" w:hAnsi="Arial" w:cs="Arial"/>
              </w:rPr>
              <w:t>1. Establish</w:t>
            </w:r>
            <w:r w:rsidR="0040582D">
              <w:rPr>
                <w:rFonts w:ascii="Arial" w:eastAsia="Arial" w:hAnsi="Arial" w:cs="Arial"/>
              </w:rPr>
              <w:t>ed</w:t>
            </w:r>
            <w:r w:rsidRPr="0019143A">
              <w:rPr>
                <w:rFonts w:ascii="Arial" w:eastAsia="Arial" w:hAnsi="Arial" w:cs="Arial"/>
              </w:rPr>
              <w:t xml:space="preserve"> state and district processes </w:t>
            </w:r>
            <w:r w:rsidR="0040582D">
              <w:rPr>
                <w:rFonts w:ascii="Arial" w:eastAsia="Arial" w:hAnsi="Arial" w:cs="Arial"/>
              </w:rPr>
              <w:t xml:space="preserve">to be </w:t>
            </w:r>
            <w:r w:rsidR="004D7FB6">
              <w:rPr>
                <w:rFonts w:ascii="Arial" w:eastAsia="Arial" w:hAnsi="Arial" w:cs="Arial"/>
              </w:rPr>
              <w:t>cataloged</w:t>
            </w:r>
            <w:r w:rsidR="0040582D">
              <w:rPr>
                <w:rFonts w:ascii="Arial" w:eastAsia="Arial" w:hAnsi="Arial" w:cs="Arial"/>
              </w:rPr>
              <w:t xml:space="preserve"> and archived </w:t>
            </w:r>
            <w:r w:rsidRPr="0019143A">
              <w:rPr>
                <w:rFonts w:ascii="Arial" w:eastAsia="Arial" w:hAnsi="Arial" w:cs="Arial"/>
              </w:rPr>
              <w:t>by the end of Q4 202</w:t>
            </w:r>
            <w:r w:rsidR="0040582D">
              <w:rPr>
                <w:rFonts w:ascii="Arial" w:eastAsia="Arial" w:hAnsi="Arial" w:cs="Arial"/>
              </w:rPr>
              <w:t>4</w:t>
            </w:r>
            <w:r w:rsidRPr="0019143A">
              <w:rPr>
                <w:rFonts w:ascii="Arial" w:eastAsia="Arial" w:hAnsi="Arial" w:cs="Arial"/>
              </w:rPr>
              <w:t xml:space="preserve">. </w:t>
            </w:r>
          </w:p>
        </w:tc>
        <w:tc>
          <w:tcPr>
            <w:tcW w:w="8100" w:type="dxa"/>
          </w:tcPr>
          <w:p w14:paraId="4DABDA19" w14:textId="3D05139A" w:rsidR="00380117" w:rsidRPr="00735666" w:rsidRDefault="00380117" w:rsidP="00CF37EF">
            <w:pPr>
              <w:spacing w:after="0" w:line="240" w:lineRule="auto"/>
              <w:rPr>
                <w:rFonts w:ascii="Arial" w:eastAsia="Arial" w:hAnsi="Arial" w:cs="Arial"/>
                <w:color w:val="FF0000"/>
              </w:rPr>
            </w:pPr>
          </w:p>
        </w:tc>
      </w:tr>
      <w:tr w:rsidR="00EF3508" w:rsidRPr="0019143A" w14:paraId="3D457BF3" w14:textId="77777777" w:rsidTr="00CF37EF">
        <w:trPr>
          <w:trHeight w:val="260"/>
        </w:trPr>
        <w:tc>
          <w:tcPr>
            <w:tcW w:w="5125" w:type="dxa"/>
          </w:tcPr>
          <w:p w14:paraId="3289C039" w14:textId="3493F450" w:rsidR="00EF3508" w:rsidRPr="0019143A" w:rsidRDefault="00EF3508" w:rsidP="00EF3508">
            <w:pPr>
              <w:pStyle w:val="ListParagraph"/>
              <w:numPr>
                <w:ilvl w:val="1"/>
                <w:numId w:val="8"/>
              </w:numPr>
              <w:shd w:val="clear" w:color="auto" w:fill="FFFFFF"/>
              <w:spacing w:after="0"/>
              <w:rPr>
                <w:rFonts w:ascii="Arial" w:hAnsi="Arial" w:cs="Arial"/>
                <w:color w:val="1D2228"/>
              </w:rPr>
            </w:pPr>
            <w:r w:rsidRPr="0019143A">
              <w:rPr>
                <w:rFonts w:ascii="Arial" w:eastAsia="Arial" w:hAnsi="Arial" w:cs="Arial"/>
              </w:rPr>
              <w:t>Crea</w:t>
            </w:r>
            <w:r w:rsidR="0040582D">
              <w:rPr>
                <w:rFonts w:ascii="Arial" w:eastAsia="Arial" w:hAnsi="Arial" w:cs="Arial"/>
              </w:rPr>
              <w:t>te a centralized, organized, and accessible folder system that is owned and managed by TOTA.</w:t>
            </w:r>
          </w:p>
        </w:tc>
        <w:tc>
          <w:tcPr>
            <w:tcW w:w="8100" w:type="dxa"/>
          </w:tcPr>
          <w:p w14:paraId="69A014A9" w14:textId="6FC20F4A" w:rsidR="00380117" w:rsidRPr="00735666" w:rsidRDefault="00380117" w:rsidP="00CF37EF">
            <w:pPr>
              <w:spacing w:after="0" w:line="240" w:lineRule="auto"/>
              <w:rPr>
                <w:rFonts w:ascii="Arial" w:eastAsia="Arial" w:hAnsi="Arial" w:cs="Arial"/>
                <w:color w:val="FF0000"/>
                <w:sz w:val="20"/>
                <w:szCs w:val="20"/>
              </w:rPr>
            </w:pPr>
          </w:p>
        </w:tc>
      </w:tr>
      <w:tr w:rsidR="00EF3508" w:rsidRPr="0019143A" w14:paraId="2FED3286" w14:textId="77777777" w:rsidTr="00CF37EF">
        <w:trPr>
          <w:trHeight w:val="260"/>
        </w:trPr>
        <w:tc>
          <w:tcPr>
            <w:tcW w:w="5125" w:type="dxa"/>
          </w:tcPr>
          <w:p w14:paraId="770CE758" w14:textId="72BCC774" w:rsidR="00EF3508" w:rsidRPr="0019143A" w:rsidRDefault="006E6316" w:rsidP="00935AF4">
            <w:pPr>
              <w:pStyle w:val="ListParagraph"/>
              <w:numPr>
                <w:ilvl w:val="1"/>
                <w:numId w:val="8"/>
              </w:numPr>
              <w:shd w:val="clear" w:color="auto" w:fill="FFFFFF"/>
              <w:spacing w:after="0"/>
              <w:rPr>
                <w:rFonts w:ascii="Arial" w:hAnsi="Arial" w:cs="Arial"/>
                <w:color w:val="1D2228"/>
              </w:rPr>
            </w:pPr>
            <w:r>
              <w:rPr>
                <w:rFonts w:ascii="Arial" w:hAnsi="Arial" w:cs="Arial"/>
                <w:color w:val="1D2228"/>
              </w:rPr>
              <w:t xml:space="preserve">Create </w:t>
            </w:r>
            <w:r w:rsidR="0040582D">
              <w:rPr>
                <w:rFonts w:ascii="Arial" w:hAnsi="Arial" w:cs="Arial"/>
                <w:color w:val="1D2228"/>
              </w:rPr>
              <w:t xml:space="preserve">standard operating procedures for each committee to be approved by the board by the end of 2024.  </w:t>
            </w:r>
            <w:r>
              <w:rPr>
                <w:rFonts w:ascii="Arial" w:hAnsi="Arial" w:cs="Arial"/>
                <w:color w:val="1D2228"/>
              </w:rPr>
              <w:t xml:space="preserve"> </w:t>
            </w:r>
          </w:p>
        </w:tc>
        <w:tc>
          <w:tcPr>
            <w:tcW w:w="8100" w:type="dxa"/>
          </w:tcPr>
          <w:p w14:paraId="45141EC5" w14:textId="02D169F2" w:rsidR="00925FE3" w:rsidRPr="006F478F" w:rsidRDefault="00925FE3" w:rsidP="00CF37EF">
            <w:pPr>
              <w:spacing w:after="0" w:line="240" w:lineRule="auto"/>
              <w:rPr>
                <w:rFonts w:ascii="Arial" w:eastAsia="Arial" w:hAnsi="Arial" w:cs="Arial"/>
                <w:color w:val="FF0000"/>
                <w:sz w:val="20"/>
                <w:szCs w:val="20"/>
              </w:rPr>
            </w:pPr>
          </w:p>
        </w:tc>
      </w:tr>
      <w:tr w:rsidR="00EF3508" w:rsidRPr="0019143A" w14:paraId="52A2CF9E" w14:textId="77777777" w:rsidTr="00CF37EF">
        <w:trPr>
          <w:trHeight w:val="260"/>
        </w:trPr>
        <w:tc>
          <w:tcPr>
            <w:tcW w:w="5125" w:type="dxa"/>
          </w:tcPr>
          <w:p w14:paraId="66A59715" w14:textId="67B04D89" w:rsidR="00EF3508" w:rsidRPr="0019143A" w:rsidRDefault="0040582D" w:rsidP="00935AF4">
            <w:pPr>
              <w:pStyle w:val="ListParagraph"/>
              <w:numPr>
                <w:ilvl w:val="1"/>
                <w:numId w:val="8"/>
              </w:numPr>
              <w:rPr>
                <w:rFonts w:ascii="Arial" w:hAnsi="Arial" w:cs="Arial"/>
                <w:color w:val="1D2228"/>
              </w:rPr>
            </w:pPr>
            <w:r>
              <w:rPr>
                <w:rFonts w:ascii="Arial" w:eastAsia="Arial" w:hAnsi="Arial" w:cs="Arial"/>
              </w:rPr>
              <w:t xml:space="preserve">Implementation of </w:t>
            </w:r>
            <w:r w:rsidR="004D7FB6">
              <w:rPr>
                <w:rFonts w:ascii="Arial" w:eastAsia="Arial" w:hAnsi="Arial" w:cs="Arial"/>
              </w:rPr>
              <w:t>board-approved</w:t>
            </w:r>
            <w:r>
              <w:rPr>
                <w:rFonts w:ascii="Arial" w:eastAsia="Arial" w:hAnsi="Arial" w:cs="Arial"/>
              </w:rPr>
              <w:t xml:space="preserve"> </w:t>
            </w:r>
            <w:r w:rsidR="00935AF4" w:rsidRPr="0019143A">
              <w:rPr>
                <w:rFonts w:ascii="Arial" w:eastAsia="Arial" w:hAnsi="Arial" w:cs="Arial"/>
              </w:rPr>
              <w:t xml:space="preserve">written appointment process for the </w:t>
            </w:r>
            <w:r w:rsidR="00925FE3">
              <w:rPr>
                <w:rFonts w:ascii="Arial" w:eastAsia="Arial" w:hAnsi="Arial" w:cs="Arial"/>
              </w:rPr>
              <w:t>state board positions</w:t>
            </w:r>
            <w:r w:rsidR="00935AF4" w:rsidRPr="0019143A">
              <w:rPr>
                <w:rFonts w:ascii="Arial" w:eastAsia="Arial" w:hAnsi="Arial" w:cs="Arial"/>
              </w:rPr>
              <w:t xml:space="preserve"> by </w:t>
            </w:r>
            <w:r>
              <w:rPr>
                <w:rFonts w:ascii="Arial" w:eastAsia="Arial" w:hAnsi="Arial" w:cs="Arial"/>
              </w:rPr>
              <w:t xml:space="preserve">February 2024.  </w:t>
            </w:r>
          </w:p>
        </w:tc>
        <w:tc>
          <w:tcPr>
            <w:tcW w:w="8100" w:type="dxa"/>
          </w:tcPr>
          <w:p w14:paraId="79A1E388" w14:textId="0F0C6F6F" w:rsidR="00EF3508" w:rsidRPr="006F478F" w:rsidRDefault="00EF3508" w:rsidP="00935AF4">
            <w:pPr>
              <w:spacing w:after="0" w:line="240" w:lineRule="auto"/>
              <w:rPr>
                <w:rFonts w:ascii="Arial" w:eastAsia="Arial" w:hAnsi="Arial" w:cs="Arial"/>
                <w:color w:val="FF0000"/>
                <w:sz w:val="20"/>
                <w:szCs w:val="20"/>
              </w:rPr>
            </w:pPr>
          </w:p>
        </w:tc>
      </w:tr>
      <w:tr w:rsidR="00EF3508" w:rsidRPr="0019143A" w14:paraId="67AA2834" w14:textId="77777777" w:rsidTr="008F05E9">
        <w:trPr>
          <w:trHeight w:val="1295"/>
        </w:trPr>
        <w:tc>
          <w:tcPr>
            <w:tcW w:w="5125" w:type="dxa"/>
          </w:tcPr>
          <w:p w14:paraId="06F71BBA" w14:textId="4DE909CB" w:rsidR="007E3903" w:rsidRDefault="007E3903" w:rsidP="007E3903">
            <w:pPr>
              <w:pStyle w:val="NormalWeb"/>
              <w:numPr>
                <w:ilvl w:val="1"/>
                <w:numId w:val="8"/>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Create direction through standard operating procedures for The Committee on Development and make proposals to modifications to policies and procedures by the end of Q2.   </w:t>
            </w:r>
          </w:p>
          <w:p w14:paraId="4B03B9F0" w14:textId="7A946EA7" w:rsidR="00EF3508" w:rsidRPr="0019143A" w:rsidRDefault="00EF3508" w:rsidP="007C4755">
            <w:pPr>
              <w:spacing w:after="0"/>
              <w:ind w:left="720"/>
              <w:rPr>
                <w:rFonts w:ascii="Arial" w:hAnsi="Arial" w:cs="Arial"/>
              </w:rPr>
            </w:pPr>
          </w:p>
        </w:tc>
        <w:tc>
          <w:tcPr>
            <w:tcW w:w="8100" w:type="dxa"/>
          </w:tcPr>
          <w:p w14:paraId="69010859" w14:textId="28C42425" w:rsidR="00EF3508" w:rsidRPr="006F478F" w:rsidRDefault="00EF3508" w:rsidP="00CF37EF">
            <w:pPr>
              <w:spacing w:after="0" w:line="240" w:lineRule="auto"/>
              <w:rPr>
                <w:rFonts w:ascii="Arial" w:eastAsia="Arial" w:hAnsi="Arial" w:cs="Arial"/>
                <w:color w:val="FF0000"/>
                <w:sz w:val="20"/>
                <w:szCs w:val="20"/>
              </w:rPr>
            </w:pPr>
          </w:p>
        </w:tc>
      </w:tr>
      <w:tr w:rsidR="0040582D" w:rsidRPr="0019143A" w14:paraId="7F9B4A7C" w14:textId="77777777" w:rsidTr="008F05E9">
        <w:trPr>
          <w:trHeight w:val="1295"/>
        </w:trPr>
        <w:tc>
          <w:tcPr>
            <w:tcW w:w="5125" w:type="dxa"/>
          </w:tcPr>
          <w:p w14:paraId="5D665E74" w14:textId="06CA5CB5" w:rsidR="0040582D" w:rsidRPr="0040582D" w:rsidRDefault="00432F5C" w:rsidP="0040582D">
            <w:pPr>
              <w:pStyle w:val="ListParagraph"/>
              <w:numPr>
                <w:ilvl w:val="0"/>
                <w:numId w:val="8"/>
              </w:numPr>
              <w:rPr>
                <w:rFonts w:ascii="Arial" w:eastAsia="Arial" w:hAnsi="Arial" w:cs="Arial"/>
              </w:rPr>
            </w:pPr>
            <w:r>
              <w:rPr>
                <w:rFonts w:ascii="Arial" w:eastAsia="Arial" w:hAnsi="Arial" w:cs="Arial"/>
              </w:rPr>
              <w:lastRenderedPageBreak/>
              <w:t xml:space="preserve">TOTA will draft a Why statement by the end of January 2024.  </w:t>
            </w:r>
          </w:p>
        </w:tc>
        <w:tc>
          <w:tcPr>
            <w:tcW w:w="8100" w:type="dxa"/>
          </w:tcPr>
          <w:p w14:paraId="3B427550" w14:textId="77777777" w:rsidR="0040582D" w:rsidRPr="00432F5C" w:rsidRDefault="0040582D" w:rsidP="00432F5C">
            <w:pPr>
              <w:rPr>
                <w:rFonts w:ascii="Arial" w:eastAsia="Arial" w:hAnsi="Arial" w:cs="Arial"/>
                <w:color w:val="FF0000"/>
                <w:sz w:val="20"/>
                <w:szCs w:val="20"/>
              </w:rPr>
            </w:pPr>
          </w:p>
        </w:tc>
      </w:tr>
      <w:tr w:rsidR="00432F5C" w:rsidRPr="0019143A" w14:paraId="7F50039C" w14:textId="77777777" w:rsidTr="008F05E9">
        <w:trPr>
          <w:trHeight w:val="1295"/>
        </w:trPr>
        <w:tc>
          <w:tcPr>
            <w:tcW w:w="5125" w:type="dxa"/>
          </w:tcPr>
          <w:p w14:paraId="5B3C1759" w14:textId="2AB5B967" w:rsidR="00432F5C" w:rsidRPr="00432F5C" w:rsidRDefault="00432F5C" w:rsidP="00432F5C">
            <w:pPr>
              <w:pStyle w:val="ListParagraph"/>
              <w:numPr>
                <w:ilvl w:val="1"/>
                <w:numId w:val="27"/>
              </w:numPr>
              <w:rPr>
                <w:rFonts w:ascii="Arial" w:eastAsia="Arial" w:hAnsi="Arial" w:cs="Arial"/>
              </w:rPr>
            </w:pPr>
            <w:r>
              <w:rPr>
                <w:rFonts w:ascii="Arial" w:eastAsia="Arial" w:hAnsi="Arial" w:cs="Arial"/>
              </w:rPr>
              <w:t>TOTA will develop and implement a marketing/membership/social media campaign centered around TOTA’s Why by the end of March 2024.</w:t>
            </w:r>
          </w:p>
        </w:tc>
        <w:tc>
          <w:tcPr>
            <w:tcW w:w="8100" w:type="dxa"/>
          </w:tcPr>
          <w:p w14:paraId="2B588E18" w14:textId="77777777" w:rsidR="00432F5C" w:rsidRDefault="00432F5C" w:rsidP="00432F5C">
            <w:pPr>
              <w:pStyle w:val="ListParagraph"/>
              <w:ind w:left="360"/>
              <w:rPr>
                <w:rFonts w:ascii="Arial" w:hAnsi="Arial" w:cs="Arial"/>
                <w:sz w:val="24"/>
                <w:szCs w:val="24"/>
              </w:rPr>
            </w:pPr>
          </w:p>
        </w:tc>
      </w:tr>
    </w:tbl>
    <w:p w14:paraId="6B0DBE0A" w14:textId="77777777" w:rsidR="00EF3508" w:rsidRPr="0019143A" w:rsidRDefault="00EF3508">
      <w:pPr>
        <w:spacing w:after="0" w:line="240" w:lineRule="auto"/>
        <w:rPr>
          <w:rFonts w:ascii="Arial" w:eastAsia="Arial" w:hAnsi="Arial" w:cs="Arial"/>
          <w:b/>
        </w:rPr>
      </w:pPr>
    </w:p>
    <w:p w14:paraId="5D61BB4C" w14:textId="77777777" w:rsidR="002E1862" w:rsidRPr="0019143A" w:rsidRDefault="002E1862">
      <w:pPr>
        <w:spacing w:after="0" w:line="240" w:lineRule="auto"/>
        <w:rPr>
          <w:rFonts w:ascii="Arial" w:eastAsia="Arial" w:hAnsi="Arial" w:cs="Arial"/>
          <w:b/>
        </w:rPr>
      </w:pPr>
    </w:p>
    <w:tbl>
      <w:tblPr>
        <w:tblStyle w:val="a5"/>
        <w:tblW w:w="13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5"/>
        <w:gridCol w:w="8100"/>
      </w:tblGrid>
      <w:tr w:rsidR="002E1862" w:rsidRPr="0019143A" w14:paraId="3B3EEF0D" w14:textId="77777777">
        <w:tc>
          <w:tcPr>
            <w:tcW w:w="5125" w:type="dxa"/>
          </w:tcPr>
          <w:p w14:paraId="095B3F09" w14:textId="77777777" w:rsidR="002E1862" w:rsidRPr="0019143A" w:rsidRDefault="003A2131">
            <w:pPr>
              <w:spacing w:after="0" w:line="240" w:lineRule="auto"/>
              <w:jc w:val="center"/>
              <w:rPr>
                <w:rFonts w:ascii="Arial" w:eastAsia="Arial" w:hAnsi="Arial" w:cs="Arial"/>
              </w:rPr>
            </w:pPr>
            <w:r w:rsidRPr="0019143A">
              <w:rPr>
                <w:rFonts w:ascii="Arial" w:eastAsia="Arial" w:hAnsi="Arial" w:cs="Arial"/>
              </w:rPr>
              <w:t>Goal</w:t>
            </w:r>
          </w:p>
        </w:tc>
        <w:tc>
          <w:tcPr>
            <w:tcW w:w="8100" w:type="dxa"/>
          </w:tcPr>
          <w:p w14:paraId="0C8DE961" w14:textId="77777777" w:rsidR="002E1862" w:rsidRPr="0019143A" w:rsidRDefault="003A2131">
            <w:pPr>
              <w:spacing w:after="0" w:line="240" w:lineRule="auto"/>
              <w:jc w:val="center"/>
              <w:rPr>
                <w:rFonts w:ascii="Arial" w:eastAsia="Arial" w:hAnsi="Arial" w:cs="Arial"/>
              </w:rPr>
            </w:pPr>
            <w:r w:rsidRPr="0019143A">
              <w:rPr>
                <w:rFonts w:ascii="Arial" w:eastAsia="Arial" w:hAnsi="Arial" w:cs="Arial"/>
              </w:rPr>
              <w:t>Results/Update</w:t>
            </w:r>
          </w:p>
        </w:tc>
      </w:tr>
      <w:tr w:rsidR="002E1862" w:rsidRPr="0019143A" w14:paraId="2A6F18B5" w14:textId="77777777">
        <w:trPr>
          <w:trHeight w:val="260"/>
        </w:trPr>
        <w:tc>
          <w:tcPr>
            <w:tcW w:w="5125" w:type="dxa"/>
          </w:tcPr>
          <w:p w14:paraId="6E568118" w14:textId="171C5CE1" w:rsidR="002E1862" w:rsidRPr="00432F5C" w:rsidRDefault="00837457" w:rsidP="00432F5C">
            <w:pPr>
              <w:pStyle w:val="ListParagraph"/>
              <w:numPr>
                <w:ilvl w:val="0"/>
                <w:numId w:val="8"/>
              </w:numPr>
              <w:spacing w:after="0" w:line="240" w:lineRule="auto"/>
              <w:rPr>
                <w:rFonts w:ascii="Arial" w:eastAsia="Arial" w:hAnsi="Arial" w:cs="Arial"/>
              </w:rPr>
            </w:pPr>
            <w:r>
              <w:rPr>
                <w:rFonts w:ascii="Arial" w:eastAsia="Arial" w:hAnsi="Arial" w:cs="Arial"/>
              </w:rPr>
              <w:t>The DEI Standing Committee will complete a minimum of (3) trainings in 2024:  TOTA Board DEI Training in January, membership virtual training for late spring, and on</w:t>
            </w:r>
            <w:r w:rsidR="004D7FB6">
              <w:rPr>
                <w:rFonts w:ascii="Arial" w:eastAsia="Arial" w:hAnsi="Arial" w:cs="Arial"/>
              </w:rPr>
              <w:t>e</w:t>
            </w:r>
            <w:r>
              <w:rPr>
                <w:rFonts w:ascii="Arial" w:eastAsia="Arial" w:hAnsi="Arial" w:cs="Arial"/>
              </w:rPr>
              <w:t xml:space="preserve"> in person TOTA Conference training in the fall.</w:t>
            </w:r>
          </w:p>
        </w:tc>
        <w:tc>
          <w:tcPr>
            <w:tcW w:w="8100" w:type="dxa"/>
          </w:tcPr>
          <w:p w14:paraId="0B1B1E89" w14:textId="2AD4ACE3" w:rsidR="002E1862" w:rsidRPr="008A2C3E" w:rsidRDefault="00F873B6" w:rsidP="009416FD">
            <w:pPr>
              <w:spacing w:after="0" w:line="240" w:lineRule="auto"/>
              <w:rPr>
                <w:rFonts w:ascii="Arial" w:eastAsia="Arial" w:hAnsi="Arial" w:cs="Arial"/>
                <w:color w:val="FF0000"/>
              </w:rPr>
            </w:pPr>
            <w:r>
              <w:rPr>
                <w:rFonts w:ascii="Arial" w:eastAsia="Arial" w:hAnsi="Arial" w:cs="Arial"/>
                <w:color w:val="FF0000"/>
              </w:rPr>
              <w:t xml:space="preserve"> </w:t>
            </w:r>
          </w:p>
        </w:tc>
      </w:tr>
      <w:tr w:rsidR="00EF3508" w:rsidRPr="0019143A" w14:paraId="3411A514" w14:textId="77777777">
        <w:trPr>
          <w:trHeight w:val="260"/>
        </w:trPr>
        <w:tc>
          <w:tcPr>
            <w:tcW w:w="5125" w:type="dxa"/>
          </w:tcPr>
          <w:p w14:paraId="63A92CFD" w14:textId="5AE02D94" w:rsidR="00EF3508" w:rsidRDefault="006A5B66" w:rsidP="00432F5C">
            <w:pPr>
              <w:pStyle w:val="ListParagraph"/>
              <w:numPr>
                <w:ilvl w:val="0"/>
                <w:numId w:val="8"/>
              </w:numPr>
              <w:rPr>
                <w:rFonts w:ascii="Arial" w:eastAsia="Arial" w:hAnsi="Arial" w:cs="Arial"/>
              </w:rPr>
            </w:pPr>
            <w:r w:rsidRPr="006A5B66">
              <w:rPr>
                <w:rFonts w:ascii="Arial" w:eastAsia="Times New Roman" w:hAnsi="Arial" w:cs="Arial"/>
                <w:color w:val="000000"/>
              </w:rPr>
              <w:t>Develop surveys to collect data on successes and challenges of the mentorship program</w:t>
            </w:r>
            <w:r>
              <w:rPr>
                <w:rFonts w:ascii="Arial" w:eastAsia="Times New Roman" w:hAnsi="Arial" w:cs="Arial"/>
                <w:color w:val="000000"/>
              </w:rPr>
              <w:t xml:space="preserve"> by the end of Q2</w:t>
            </w:r>
            <w:r w:rsidRPr="006A5B66">
              <w:rPr>
                <w:rFonts w:ascii="Arial" w:eastAsia="Times New Roman" w:hAnsi="Arial" w:cs="Arial"/>
                <w:color w:val="000000"/>
              </w:rPr>
              <w:t>.</w:t>
            </w:r>
            <w:r w:rsidRPr="006A5B66">
              <w:rPr>
                <w:rFonts w:ascii="Tahoma" w:eastAsia="Times New Roman" w:hAnsi="Tahoma" w:cs="Tahoma"/>
                <w:color w:val="000000"/>
              </w:rPr>
              <w:t> </w:t>
            </w:r>
            <w:r w:rsidR="009416FD" w:rsidRPr="00432F5C">
              <w:rPr>
                <w:rFonts w:ascii="Arial" w:eastAsia="Arial" w:hAnsi="Arial" w:cs="Arial"/>
              </w:rPr>
              <w:t xml:space="preserve"> </w:t>
            </w:r>
          </w:p>
          <w:p w14:paraId="443167DF" w14:textId="52AF09DB" w:rsidR="006A5B66" w:rsidRPr="00432F5C" w:rsidRDefault="006A5B66" w:rsidP="00432F5C">
            <w:pPr>
              <w:pStyle w:val="ListParagraph"/>
              <w:numPr>
                <w:ilvl w:val="0"/>
                <w:numId w:val="8"/>
              </w:numPr>
              <w:rPr>
                <w:rFonts w:ascii="Arial" w:eastAsia="Arial" w:hAnsi="Arial" w:cs="Arial"/>
              </w:rPr>
            </w:pPr>
            <w:r>
              <w:rPr>
                <w:rFonts w:ascii="Arial" w:eastAsia="Arial" w:hAnsi="Arial" w:cs="Arial"/>
              </w:rPr>
              <w:t xml:space="preserve">Market </w:t>
            </w:r>
            <w:r w:rsidRPr="006A5B66">
              <w:rPr>
                <w:rFonts w:ascii="Arial" w:eastAsia="Arial" w:hAnsi="Arial" w:cs="Arial"/>
              </w:rPr>
              <w:t>the mentorship program through social media for members to be aware of the benefits of mentorship</w:t>
            </w:r>
            <w:r>
              <w:rPr>
                <w:rFonts w:ascii="Arial" w:eastAsia="Arial" w:hAnsi="Arial" w:cs="Arial"/>
              </w:rPr>
              <w:t xml:space="preserve"> by the end of Q2.  </w:t>
            </w:r>
          </w:p>
        </w:tc>
        <w:tc>
          <w:tcPr>
            <w:tcW w:w="8100" w:type="dxa"/>
          </w:tcPr>
          <w:p w14:paraId="588A53BE" w14:textId="005E449D" w:rsidR="006A5B66" w:rsidRPr="006A5B66" w:rsidRDefault="006A5B66" w:rsidP="006A5B66">
            <w:pPr>
              <w:shd w:val="clear" w:color="auto" w:fill="FFFFFF"/>
              <w:spacing w:after="0" w:line="240" w:lineRule="auto"/>
            </w:pPr>
            <w:r>
              <w:t xml:space="preserve"> </w:t>
            </w:r>
          </w:p>
          <w:p w14:paraId="366AA390" w14:textId="179D1947" w:rsidR="00EF3508" w:rsidRPr="008A2C3E" w:rsidRDefault="00EF3508" w:rsidP="008A2C3E">
            <w:pPr>
              <w:spacing w:after="0" w:line="240" w:lineRule="auto"/>
              <w:rPr>
                <w:rFonts w:ascii="Arial" w:eastAsia="Arial" w:hAnsi="Arial" w:cs="Arial"/>
                <w:color w:val="1D2228"/>
              </w:rPr>
            </w:pPr>
          </w:p>
        </w:tc>
      </w:tr>
    </w:tbl>
    <w:p w14:paraId="07E2214A" w14:textId="77777777" w:rsidR="002E1862" w:rsidRPr="0019143A" w:rsidRDefault="002E1862">
      <w:pPr>
        <w:spacing w:after="0" w:line="240" w:lineRule="auto"/>
        <w:rPr>
          <w:rFonts w:ascii="Arial" w:eastAsia="Arial" w:hAnsi="Arial" w:cs="Arial"/>
          <w:color w:val="000000"/>
          <w:sz w:val="24"/>
          <w:szCs w:val="24"/>
        </w:rPr>
      </w:pPr>
    </w:p>
    <w:p w14:paraId="3F5E66AB" w14:textId="7EFC31B6" w:rsidR="002E1862" w:rsidRPr="0019143A" w:rsidRDefault="003A2131" w:rsidP="00106DBB">
      <w:pPr>
        <w:spacing w:after="0" w:line="240" w:lineRule="auto"/>
        <w:rPr>
          <w:rFonts w:ascii="Arial" w:eastAsia="Arial" w:hAnsi="Arial" w:cs="Arial"/>
          <w:b/>
          <w:sz w:val="24"/>
          <w:szCs w:val="24"/>
        </w:rPr>
      </w:pPr>
      <w:r w:rsidRPr="0019143A">
        <w:rPr>
          <w:rFonts w:ascii="Arial" w:eastAsia="Arial" w:hAnsi="Arial" w:cs="Arial"/>
          <w:b/>
          <w:sz w:val="24"/>
          <w:szCs w:val="24"/>
          <w:u w:val="single"/>
        </w:rPr>
        <w:br/>
        <w:t>Strategic Area IV</w:t>
      </w:r>
      <w:r w:rsidRPr="0019143A">
        <w:rPr>
          <w:rFonts w:ascii="Arial" w:eastAsia="Arial" w:hAnsi="Arial" w:cs="Arial"/>
          <w:sz w:val="24"/>
          <w:szCs w:val="24"/>
          <w:u w:val="single"/>
        </w:rPr>
        <w:t>:</w:t>
      </w:r>
      <w:r w:rsidRPr="0019143A">
        <w:rPr>
          <w:rFonts w:ascii="Arial" w:eastAsia="Arial" w:hAnsi="Arial" w:cs="Arial"/>
          <w:sz w:val="24"/>
          <w:szCs w:val="24"/>
        </w:rPr>
        <w:t xml:space="preserve"> </w:t>
      </w:r>
      <w:r w:rsidRPr="0019143A">
        <w:rPr>
          <w:rFonts w:ascii="Arial" w:eastAsia="Arial" w:hAnsi="Arial" w:cs="Arial"/>
          <w:b/>
          <w:sz w:val="24"/>
          <w:szCs w:val="24"/>
        </w:rPr>
        <w:t xml:space="preserve">TOTA will be proactive to internal and external influences and </w:t>
      </w:r>
      <w:r w:rsidR="007E4E91" w:rsidRPr="0019143A">
        <w:rPr>
          <w:rFonts w:ascii="Arial" w:eastAsia="Arial" w:hAnsi="Arial" w:cs="Arial"/>
          <w:b/>
          <w:sz w:val="24"/>
          <w:szCs w:val="24"/>
        </w:rPr>
        <w:t>changes.</w:t>
      </w:r>
    </w:p>
    <w:p w14:paraId="51763BD0" w14:textId="77777777" w:rsidR="000741AE" w:rsidRPr="0019143A" w:rsidRDefault="000741AE">
      <w:pPr>
        <w:spacing w:after="0" w:line="240" w:lineRule="auto"/>
        <w:rPr>
          <w:rFonts w:ascii="Arial" w:eastAsia="Arial" w:hAnsi="Arial" w:cs="Arial"/>
          <w:b/>
          <w:sz w:val="24"/>
          <w:szCs w:val="24"/>
        </w:rPr>
      </w:pPr>
    </w:p>
    <w:p w14:paraId="2395838B" w14:textId="77777777" w:rsidR="002E1862" w:rsidRPr="0019143A" w:rsidRDefault="002E1862">
      <w:pPr>
        <w:spacing w:after="0" w:line="240" w:lineRule="auto"/>
        <w:rPr>
          <w:rFonts w:ascii="Arial" w:eastAsia="Arial" w:hAnsi="Arial" w:cs="Arial"/>
          <w:sz w:val="24"/>
          <w:szCs w:val="24"/>
        </w:rPr>
      </w:pPr>
    </w:p>
    <w:tbl>
      <w:tblPr>
        <w:tblStyle w:val="a6"/>
        <w:tblW w:w="13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5"/>
        <w:gridCol w:w="8100"/>
      </w:tblGrid>
      <w:tr w:rsidR="002E1862" w:rsidRPr="0019143A" w14:paraId="2F7C9771" w14:textId="77777777">
        <w:tc>
          <w:tcPr>
            <w:tcW w:w="5125" w:type="dxa"/>
          </w:tcPr>
          <w:p w14:paraId="39E421AC" w14:textId="77777777" w:rsidR="002E1862" w:rsidRPr="0019143A" w:rsidRDefault="003A2131">
            <w:pPr>
              <w:spacing w:after="0" w:line="240" w:lineRule="auto"/>
              <w:jc w:val="center"/>
              <w:rPr>
                <w:rFonts w:ascii="Arial" w:eastAsia="Arial" w:hAnsi="Arial" w:cs="Arial"/>
                <w:sz w:val="24"/>
                <w:szCs w:val="24"/>
              </w:rPr>
            </w:pPr>
            <w:bookmarkStart w:id="0" w:name="_heading=h.30j0zll" w:colFirst="0" w:colLast="0"/>
            <w:bookmarkEnd w:id="0"/>
            <w:r w:rsidRPr="0019143A">
              <w:rPr>
                <w:rFonts w:ascii="Arial" w:eastAsia="Arial" w:hAnsi="Arial" w:cs="Arial"/>
                <w:sz w:val="24"/>
                <w:szCs w:val="24"/>
              </w:rPr>
              <w:t>Goal</w:t>
            </w:r>
          </w:p>
        </w:tc>
        <w:tc>
          <w:tcPr>
            <w:tcW w:w="8100" w:type="dxa"/>
          </w:tcPr>
          <w:p w14:paraId="7FEC8378" w14:textId="77777777" w:rsidR="002E1862" w:rsidRPr="0019143A" w:rsidRDefault="003A2131">
            <w:pPr>
              <w:spacing w:after="0" w:line="240" w:lineRule="auto"/>
              <w:jc w:val="center"/>
              <w:rPr>
                <w:rFonts w:ascii="Arial" w:eastAsia="Arial" w:hAnsi="Arial" w:cs="Arial"/>
                <w:sz w:val="24"/>
                <w:szCs w:val="24"/>
              </w:rPr>
            </w:pPr>
            <w:r w:rsidRPr="0019143A">
              <w:rPr>
                <w:rFonts w:ascii="Arial" w:eastAsia="Arial" w:hAnsi="Arial" w:cs="Arial"/>
                <w:sz w:val="24"/>
                <w:szCs w:val="24"/>
              </w:rPr>
              <w:t>Results/Update</w:t>
            </w:r>
          </w:p>
        </w:tc>
      </w:tr>
      <w:tr w:rsidR="002E1862" w:rsidRPr="0019143A" w14:paraId="39AE984F" w14:textId="77777777" w:rsidTr="008F05E9">
        <w:trPr>
          <w:trHeight w:val="890"/>
        </w:trPr>
        <w:tc>
          <w:tcPr>
            <w:tcW w:w="5125" w:type="dxa"/>
          </w:tcPr>
          <w:p w14:paraId="59CAA5D6" w14:textId="13C22321" w:rsidR="002E1862" w:rsidRPr="006021A3" w:rsidRDefault="00105482">
            <w:pPr>
              <w:spacing w:after="0" w:line="240" w:lineRule="auto"/>
              <w:rPr>
                <w:rFonts w:ascii="Arial" w:eastAsia="Arial" w:hAnsi="Arial" w:cs="Arial"/>
              </w:rPr>
            </w:pPr>
            <w:r w:rsidRPr="006021A3">
              <w:rPr>
                <w:rFonts w:ascii="Arial" w:hAnsi="Arial" w:cs="Arial"/>
                <w:color w:val="000000"/>
              </w:rPr>
              <w:t xml:space="preserve">1.  </w:t>
            </w:r>
            <w:r w:rsidR="00FB24F1" w:rsidRPr="00FB24F1">
              <w:rPr>
                <w:rFonts w:ascii="Arial" w:hAnsi="Arial" w:cs="Arial"/>
                <w:color w:val="000000"/>
              </w:rPr>
              <w:t xml:space="preserve">TOTA </w:t>
            </w:r>
            <w:r w:rsidR="0040582D">
              <w:rPr>
                <w:rFonts w:ascii="Arial" w:hAnsi="Arial" w:cs="Arial"/>
                <w:color w:val="000000"/>
              </w:rPr>
              <w:t xml:space="preserve">will appoint a legislative chair by the end of June 2024.  </w:t>
            </w:r>
          </w:p>
          <w:p w14:paraId="4E48F023" w14:textId="77777777" w:rsidR="002E1862" w:rsidRPr="006021A3" w:rsidRDefault="002E1862">
            <w:pPr>
              <w:spacing w:after="0" w:line="240" w:lineRule="auto"/>
              <w:rPr>
                <w:rFonts w:ascii="Arial" w:eastAsia="Arial" w:hAnsi="Arial" w:cs="Arial"/>
              </w:rPr>
            </w:pPr>
          </w:p>
        </w:tc>
        <w:tc>
          <w:tcPr>
            <w:tcW w:w="8100" w:type="dxa"/>
          </w:tcPr>
          <w:p w14:paraId="3BFED142" w14:textId="7E57CB25" w:rsidR="008710A1" w:rsidRPr="00F04A33" w:rsidRDefault="008710A1" w:rsidP="00877D78">
            <w:pPr>
              <w:spacing w:before="240" w:after="0" w:line="240" w:lineRule="auto"/>
              <w:rPr>
                <w:rFonts w:ascii="Arial" w:eastAsia="Arial" w:hAnsi="Arial" w:cs="Arial"/>
                <w:color w:val="FF0000"/>
              </w:rPr>
            </w:pPr>
            <w:r>
              <w:rPr>
                <w:rFonts w:ascii="Arial" w:eastAsia="Arial" w:hAnsi="Arial" w:cs="Arial"/>
                <w:color w:val="FF0000"/>
              </w:rPr>
              <w:t xml:space="preserve"> </w:t>
            </w:r>
          </w:p>
        </w:tc>
      </w:tr>
      <w:tr w:rsidR="0040582D" w:rsidRPr="0019143A" w14:paraId="3CB510DB" w14:textId="77777777" w:rsidTr="008F05E9">
        <w:trPr>
          <w:trHeight w:val="692"/>
        </w:trPr>
        <w:tc>
          <w:tcPr>
            <w:tcW w:w="5125" w:type="dxa"/>
          </w:tcPr>
          <w:p w14:paraId="1A38C956" w14:textId="1F1C13CF" w:rsidR="0040582D" w:rsidRPr="0040582D" w:rsidRDefault="0040582D" w:rsidP="00432F5C">
            <w:pPr>
              <w:pStyle w:val="ListParagraph"/>
              <w:numPr>
                <w:ilvl w:val="0"/>
                <w:numId w:val="28"/>
              </w:numPr>
              <w:spacing w:after="0" w:line="240" w:lineRule="auto"/>
              <w:rPr>
                <w:rFonts w:ascii="Arial" w:hAnsi="Arial" w:cs="Arial"/>
                <w:color w:val="000000"/>
              </w:rPr>
            </w:pPr>
            <w:r>
              <w:rPr>
                <w:rFonts w:ascii="Arial" w:hAnsi="Arial" w:cs="Arial"/>
                <w:color w:val="000000"/>
              </w:rPr>
              <w:t xml:space="preserve">TOTA will develop </w:t>
            </w:r>
            <w:r w:rsidR="00B11B14">
              <w:rPr>
                <w:rFonts w:ascii="Arial" w:hAnsi="Arial" w:cs="Arial"/>
                <w:color w:val="000000"/>
              </w:rPr>
              <w:t xml:space="preserve">a </w:t>
            </w:r>
            <w:r>
              <w:rPr>
                <w:rFonts w:ascii="Arial" w:hAnsi="Arial" w:cs="Arial"/>
                <w:color w:val="000000"/>
              </w:rPr>
              <w:t>legislative agenda and action plan for interim charges to support the OT profession by the end of January 2024.</w:t>
            </w:r>
          </w:p>
        </w:tc>
        <w:tc>
          <w:tcPr>
            <w:tcW w:w="8100" w:type="dxa"/>
          </w:tcPr>
          <w:p w14:paraId="0F90AFCD" w14:textId="77777777" w:rsidR="0040582D" w:rsidRDefault="0040582D" w:rsidP="006021A3">
            <w:pPr>
              <w:pStyle w:val="NormalWeb"/>
              <w:spacing w:before="240" w:beforeAutospacing="0" w:after="0" w:afterAutospacing="0"/>
              <w:rPr>
                <w:rFonts w:ascii="Arial" w:eastAsia="Arial" w:hAnsi="Arial" w:cs="Arial"/>
                <w:color w:val="FF0000"/>
              </w:rPr>
            </w:pPr>
          </w:p>
        </w:tc>
      </w:tr>
      <w:tr w:rsidR="00935932" w:rsidRPr="0019143A" w14:paraId="2B240D74" w14:textId="77777777" w:rsidTr="008F05E9">
        <w:trPr>
          <w:trHeight w:val="692"/>
        </w:trPr>
        <w:tc>
          <w:tcPr>
            <w:tcW w:w="5125" w:type="dxa"/>
          </w:tcPr>
          <w:p w14:paraId="014EDE58" w14:textId="62959258" w:rsidR="00935932" w:rsidRPr="0040582D" w:rsidRDefault="00FB24F1" w:rsidP="00432F5C">
            <w:pPr>
              <w:pStyle w:val="ListParagraph"/>
              <w:numPr>
                <w:ilvl w:val="0"/>
                <w:numId w:val="28"/>
              </w:numPr>
              <w:spacing w:after="0" w:line="240" w:lineRule="auto"/>
              <w:rPr>
                <w:rFonts w:ascii="Arial" w:hAnsi="Arial" w:cs="Arial"/>
              </w:rPr>
            </w:pPr>
            <w:r w:rsidRPr="0040582D">
              <w:rPr>
                <w:rFonts w:ascii="Arial" w:hAnsi="Arial" w:cs="Arial"/>
              </w:rPr>
              <w:t xml:space="preserve">TOTA will </w:t>
            </w:r>
            <w:r w:rsidR="00B11B14" w:rsidRPr="0040582D">
              <w:rPr>
                <w:rFonts w:ascii="Arial" w:hAnsi="Arial" w:cs="Arial"/>
              </w:rPr>
              <w:t>be present</w:t>
            </w:r>
            <w:r w:rsidRPr="0040582D">
              <w:rPr>
                <w:rFonts w:ascii="Arial" w:hAnsi="Arial" w:cs="Arial"/>
              </w:rPr>
              <w:t xml:space="preserve"> at 50% of occupational therapy programs by the end of Q4 202</w:t>
            </w:r>
            <w:r w:rsidR="008710A1" w:rsidRPr="0040582D">
              <w:rPr>
                <w:rFonts w:ascii="Arial" w:hAnsi="Arial" w:cs="Arial"/>
              </w:rPr>
              <w:t>4</w:t>
            </w:r>
            <w:r w:rsidRPr="0040582D">
              <w:rPr>
                <w:rFonts w:ascii="Arial" w:hAnsi="Arial" w:cs="Arial"/>
              </w:rPr>
              <w:t xml:space="preserve">.  </w:t>
            </w:r>
          </w:p>
        </w:tc>
        <w:tc>
          <w:tcPr>
            <w:tcW w:w="8100" w:type="dxa"/>
          </w:tcPr>
          <w:p w14:paraId="49B4761D" w14:textId="091942DB" w:rsidR="00085DE4" w:rsidRPr="006021A3" w:rsidRDefault="00085DE4" w:rsidP="006021A3">
            <w:pPr>
              <w:pStyle w:val="NormalWeb"/>
              <w:spacing w:before="240" w:beforeAutospacing="0" w:after="0" w:afterAutospacing="0"/>
              <w:rPr>
                <w:rFonts w:ascii="Arial" w:eastAsia="Arial" w:hAnsi="Arial" w:cs="Arial"/>
                <w:color w:val="FF0000"/>
                <w:sz w:val="22"/>
                <w:szCs w:val="22"/>
              </w:rPr>
            </w:pPr>
          </w:p>
        </w:tc>
      </w:tr>
      <w:tr w:rsidR="002E1862" w:rsidRPr="0019143A" w14:paraId="441EC181" w14:textId="77777777" w:rsidTr="008F05E9">
        <w:trPr>
          <w:trHeight w:val="1340"/>
        </w:trPr>
        <w:tc>
          <w:tcPr>
            <w:tcW w:w="5125" w:type="dxa"/>
          </w:tcPr>
          <w:p w14:paraId="3671DA62" w14:textId="2BE3B9DC" w:rsidR="002E1862" w:rsidRPr="0040582D" w:rsidRDefault="0040582D" w:rsidP="00432F5C">
            <w:pPr>
              <w:pStyle w:val="ListParagraph"/>
              <w:numPr>
                <w:ilvl w:val="0"/>
                <w:numId w:val="28"/>
              </w:numPr>
              <w:pBdr>
                <w:top w:val="nil"/>
                <w:left w:val="nil"/>
                <w:bottom w:val="nil"/>
                <w:right w:val="nil"/>
                <w:between w:val="nil"/>
              </w:pBdr>
              <w:spacing w:after="0" w:line="240" w:lineRule="auto"/>
              <w:rPr>
                <w:rFonts w:ascii="Arial" w:eastAsia="Arial" w:hAnsi="Arial" w:cs="Arial"/>
              </w:rPr>
            </w:pPr>
            <w:r w:rsidRPr="0040582D">
              <w:rPr>
                <w:rFonts w:ascii="Arial" w:eastAsia="Arial" w:hAnsi="Arial" w:cs="Arial"/>
              </w:rPr>
              <w:lastRenderedPageBreak/>
              <w:t xml:space="preserve">Determine the viability of a mental health community of practice and determine next steps transition to a community of practice </w:t>
            </w:r>
            <w:r w:rsidR="007E3903">
              <w:rPr>
                <w:rFonts w:ascii="Arial" w:eastAsia="Arial" w:hAnsi="Arial" w:cs="Arial"/>
              </w:rPr>
              <w:t xml:space="preserve">by the end of Q3.  </w:t>
            </w:r>
          </w:p>
        </w:tc>
        <w:tc>
          <w:tcPr>
            <w:tcW w:w="8100" w:type="dxa"/>
          </w:tcPr>
          <w:p w14:paraId="48D3C0FC" w14:textId="77777777" w:rsidR="002E1862" w:rsidRPr="006021A3" w:rsidRDefault="002E1862">
            <w:pPr>
              <w:spacing w:after="0" w:line="240" w:lineRule="auto"/>
              <w:rPr>
                <w:rFonts w:ascii="Arial" w:eastAsia="Arial" w:hAnsi="Arial" w:cs="Arial"/>
                <w:color w:val="1D2228"/>
              </w:rPr>
            </w:pPr>
          </w:p>
          <w:p w14:paraId="7E9F6626" w14:textId="1A1473B1" w:rsidR="008710A1" w:rsidRPr="004056FB" w:rsidRDefault="008710A1">
            <w:pPr>
              <w:spacing w:after="0" w:line="240" w:lineRule="auto"/>
              <w:rPr>
                <w:rFonts w:ascii="Arial" w:eastAsia="Arial" w:hAnsi="Arial" w:cs="Arial"/>
                <w:color w:val="FF0000"/>
              </w:rPr>
            </w:pPr>
          </w:p>
        </w:tc>
      </w:tr>
      <w:tr w:rsidR="00935932" w:rsidRPr="0019143A" w14:paraId="61E88544" w14:textId="77777777">
        <w:tc>
          <w:tcPr>
            <w:tcW w:w="5125" w:type="dxa"/>
          </w:tcPr>
          <w:p w14:paraId="37D9E7B1" w14:textId="41028E28" w:rsidR="00935932" w:rsidRPr="008F05E9" w:rsidRDefault="0040582D" w:rsidP="00432F5C">
            <w:pPr>
              <w:pStyle w:val="ListParagraph"/>
              <w:numPr>
                <w:ilvl w:val="0"/>
                <w:numId w:val="2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TOTA will define and develop guidelines for a community of practice vs. SIS group by the end of 2024.  </w:t>
            </w:r>
          </w:p>
        </w:tc>
        <w:tc>
          <w:tcPr>
            <w:tcW w:w="8100" w:type="dxa"/>
          </w:tcPr>
          <w:p w14:paraId="3D9A4226" w14:textId="5F935B6A" w:rsidR="00935932" w:rsidRPr="006021A3" w:rsidRDefault="008A2C3E">
            <w:pPr>
              <w:spacing w:after="0" w:line="240" w:lineRule="auto"/>
              <w:rPr>
                <w:rFonts w:ascii="Arial" w:eastAsia="Arial" w:hAnsi="Arial" w:cs="Arial"/>
                <w:color w:val="1D2228"/>
              </w:rPr>
            </w:pPr>
            <w:r w:rsidRPr="008A2C3E">
              <w:rPr>
                <w:rFonts w:ascii="Arial" w:eastAsia="Arial" w:hAnsi="Arial" w:cs="Arial"/>
                <w:color w:val="FF0000"/>
              </w:rPr>
              <w:t xml:space="preserve"> </w:t>
            </w:r>
          </w:p>
        </w:tc>
      </w:tr>
    </w:tbl>
    <w:p w14:paraId="0C65F162" w14:textId="77777777" w:rsidR="002E1862" w:rsidRPr="0019143A" w:rsidRDefault="002E1862">
      <w:pPr>
        <w:spacing w:after="0" w:line="240" w:lineRule="auto"/>
        <w:rPr>
          <w:rFonts w:ascii="Arial" w:eastAsia="Arial" w:hAnsi="Arial" w:cs="Arial"/>
          <w:sz w:val="24"/>
          <w:szCs w:val="24"/>
        </w:rPr>
      </w:pPr>
    </w:p>
    <w:p w14:paraId="3DE9EEA7" w14:textId="06837B38" w:rsidR="002E1862" w:rsidRDefault="003A2131">
      <w:pPr>
        <w:rPr>
          <w:rFonts w:ascii="Arial" w:hAnsi="Arial" w:cs="Arial"/>
          <w:sz w:val="24"/>
          <w:szCs w:val="24"/>
        </w:rPr>
      </w:pPr>
      <w:r w:rsidRPr="0019143A">
        <w:rPr>
          <w:rFonts w:ascii="Arial" w:hAnsi="Arial" w:cs="Arial"/>
          <w:sz w:val="24"/>
          <w:szCs w:val="24"/>
        </w:rPr>
        <w:t xml:space="preserve">Revised </w:t>
      </w:r>
      <w:r w:rsidR="00FB24F1">
        <w:rPr>
          <w:rFonts w:ascii="Arial" w:hAnsi="Arial" w:cs="Arial"/>
          <w:sz w:val="24"/>
          <w:szCs w:val="24"/>
        </w:rPr>
        <w:t>1</w:t>
      </w:r>
      <w:r w:rsidRPr="0019143A">
        <w:rPr>
          <w:rFonts w:ascii="Arial" w:hAnsi="Arial" w:cs="Arial"/>
          <w:sz w:val="24"/>
          <w:szCs w:val="24"/>
        </w:rPr>
        <w:t>.202</w:t>
      </w:r>
      <w:r w:rsidR="00432F5C">
        <w:rPr>
          <w:rFonts w:ascii="Arial" w:hAnsi="Arial" w:cs="Arial"/>
          <w:sz w:val="24"/>
          <w:szCs w:val="24"/>
        </w:rPr>
        <w:t>4</w:t>
      </w:r>
    </w:p>
    <w:sectPr w:rsidR="002E1862">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39D"/>
    <w:multiLevelType w:val="hybridMultilevel"/>
    <w:tmpl w:val="A2482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C7A67"/>
    <w:multiLevelType w:val="multilevel"/>
    <w:tmpl w:val="95706E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1103FF1"/>
    <w:multiLevelType w:val="multilevel"/>
    <w:tmpl w:val="0BECAA60"/>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2D6438D"/>
    <w:multiLevelType w:val="multilevel"/>
    <w:tmpl w:val="95706E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722DC9"/>
    <w:multiLevelType w:val="multilevel"/>
    <w:tmpl w:val="1FF09A0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80F1F1D"/>
    <w:multiLevelType w:val="multilevel"/>
    <w:tmpl w:val="80245C32"/>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8E12E87"/>
    <w:multiLevelType w:val="multilevel"/>
    <w:tmpl w:val="5AF85D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0907332"/>
    <w:multiLevelType w:val="multilevel"/>
    <w:tmpl w:val="95706E5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5BF50ED"/>
    <w:multiLevelType w:val="multilevel"/>
    <w:tmpl w:val="CA4AEC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60C5200"/>
    <w:multiLevelType w:val="multilevel"/>
    <w:tmpl w:val="95706E5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A717799"/>
    <w:multiLevelType w:val="multilevel"/>
    <w:tmpl w:val="95706E56"/>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D321C0A"/>
    <w:multiLevelType w:val="hybridMultilevel"/>
    <w:tmpl w:val="06C8A1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D66A1"/>
    <w:multiLevelType w:val="multilevel"/>
    <w:tmpl w:val="3C68D4D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EFE1138"/>
    <w:multiLevelType w:val="hybridMultilevel"/>
    <w:tmpl w:val="54E2C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9B7D26"/>
    <w:multiLevelType w:val="multilevel"/>
    <w:tmpl w:val="CA64100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31C62491"/>
    <w:multiLevelType w:val="multilevel"/>
    <w:tmpl w:val="B65433F6"/>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3734050D"/>
    <w:multiLevelType w:val="hybridMultilevel"/>
    <w:tmpl w:val="F17A98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60397"/>
    <w:multiLevelType w:val="multilevel"/>
    <w:tmpl w:val="E3CE04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B41689"/>
    <w:multiLevelType w:val="multilevel"/>
    <w:tmpl w:val="95706E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C6F417F"/>
    <w:multiLevelType w:val="multilevel"/>
    <w:tmpl w:val="E74CDE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D337B17"/>
    <w:multiLevelType w:val="multilevel"/>
    <w:tmpl w:val="C82E1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A56459"/>
    <w:multiLevelType w:val="multilevel"/>
    <w:tmpl w:val="95706E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9575EBD"/>
    <w:multiLevelType w:val="multilevel"/>
    <w:tmpl w:val="95706E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BAD70DC"/>
    <w:multiLevelType w:val="hybridMultilevel"/>
    <w:tmpl w:val="E91EE9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286350"/>
    <w:multiLevelType w:val="hybridMultilevel"/>
    <w:tmpl w:val="5EDA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7B6906"/>
    <w:multiLevelType w:val="multilevel"/>
    <w:tmpl w:val="95706E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5FB2A81"/>
    <w:multiLevelType w:val="multilevel"/>
    <w:tmpl w:val="95706E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BD236D8"/>
    <w:multiLevelType w:val="multilevel"/>
    <w:tmpl w:val="95706E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E381E88"/>
    <w:multiLevelType w:val="multilevel"/>
    <w:tmpl w:val="95706E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E6B4D02"/>
    <w:multiLevelType w:val="multilevel"/>
    <w:tmpl w:val="3AC28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1493426">
    <w:abstractNumId w:val="14"/>
  </w:num>
  <w:num w:numId="2" w16cid:durableId="1256092446">
    <w:abstractNumId w:val="19"/>
  </w:num>
  <w:num w:numId="3" w16cid:durableId="74327407">
    <w:abstractNumId w:val="8"/>
  </w:num>
  <w:num w:numId="4" w16cid:durableId="77993730">
    <w:abstractNumId w:val="25"/>
  </w:num>
  <w:num w:numId="5" w16cid:durableId="1069305285">
    <w:abstractNumId w:val="6"/>
  </w:num>
  <w:num w:numId="6" w16cid:durableId="1670712947">
    <w:abstractNumId w:val="21"/>
  </w:num>
  <w:num w:numId="7" w16cid:durableId="29383280">
    <w:abstractNumId w:val="1"/>
  </w:num>
  <w:num w:numId="8" w16cid:durableId="1167137772">
    <w:abstractNumId w:val="27"/>
  </w:num>
  <w:num w:numId="9" w16cid:durableId="1549881447">
    <w:abstractNumId w:val="26"/>
  </w:num>
  <w:num w:numId="10" w16cid:durableId="718549867">
    <w:abstractNumId w:val="3"/>
  </w:num>
  <w:num w:numId="11" w16cid:durableId="456728875">
    <w:abstractNumId w:val="9"/>
  </w:num>
  <w:num w:numId="12" w16cid:durableId="1131440353">
    <w:abstractNumId w:val="24"/>
  </w:num>
  <w:num w:numId="13" w16cid:durableId="1460101005">
    <w:abstractNumId w:val="28"/>
  </w:num>
  <w:num w:numId="14" w16cid:durableId="1320688643">
    <w:abstractNumId w:val="22"/>
  </w:num>
  <w:num w:numId="15" w16cid:durableId="458425050">
    <w:abstractNumId w:val="17"/>
  </w:num>
  <w:num w:numId="16" w16cid:durableId="1382825451">
    <w:abstractNumId w:val="11"/>
  </w:num>
  <w:num w:numId="17" w16cid:durableId="1201088644">
    <w:abstractNumId w:val="0"/>
  </w:num>
  <w:num w:numId="18" w16cid:durableId="419103632">
    <w:abstractNumId w:val="7"/>
  </w:num>
  <w:num w:numId="19" w16cid:durableId="1657878641">
    <w:abstractNumId w:val="2"/>
  </w:num>
  <w:num w:numId="20" w16cid:durableId="2086487752">
    <w:abstractNumId w:val="13"/>
  </w:num>
  <w:num w:numId="21" w16cid:durableId="1334186906">
    <w:abstractNumId w:val="16"/>
  </w:num>
  <w:num w:numId="22" w16cid:durableId="1592542297">
    <w:abstractNumId w:val="23"/>
  </w:num>
  <w:num w:numId="23" w16cid:durableId="945693982">
    <w:abstractNumId w:val="18"/>
  </w:num>
  <w:num w:numId="24" w16cid:durableId="1441225207">
    <w:abstractNumId w:val="4"/>
  </w:num>
  <w:num w:numId="25" w16cid:durableId="1891528510">
    <w:abstractNumId w:val="10"/>
  </w:num>
  <w:num w:numId="26" w16cid:durableId="1415008669">
    <w:abstractNumId w:val="12"/>
  </w:num>
  <w:num w:numId="27" w16cid:durableId="460345323">
    <w:abstractNumId w:val="15"/>
  </w:num>
  <w:num w:numId="28" w16cid:durableId="784495100">
    <w:abstractNumId w:val="5"/>
  </w:num>
  <w:num w:numId="29" w16cid:durableId="2004697190">
    <w:abstractNumId w:val="20"/>
    <w:lvlOverride w:ilvl="0">
      <w:lvl w:ilvl="0">
        <w:numFmt w:val="lowerLetter"/>
        <w:lvlText w:val="%1."/>
        <w:lvlJc w:val="left"/>
      </w:lvl>
    </w:lvlOverride>
  </w:num>
  <w:num w:numId="30" w16cid:durableId="1574200158">
    <w:abstractNumId w:val="29"/>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862"/>
    <w:rsid w:val="000318D4"/>
    <w:rsid w:val="000741AE"/>
    <w:rsid w:val="00085DE4"/>
    <w:rsid w:val="00097258"/>
    <w:rsid w:val="001029DF"/>
    <w:rsid w:val="00105482"/>
    <w:rsid w:val="00106DBB"/>
    <w:rsid w:val="00156055"/>
    <w:rsid w:val="0019143A"/>
    <w:rsid w:val="001B06C5"/>
    <w:rsid w:val="001B5571"/>
    <w:rsid w:val="0023303F"/>
    <w:rsid w:val="00256CCA"/>
    <w:rsid w:val="002B78C1"/>
    <w:rsid w:val="002C0377"/>
    <w:rsid w:val="002E1862"/>
    <w:rsid w:val="003738A3"/>
    <w:rsid w:val="00380117"/>
    <w:rsid w:val="003A2131"/>
    <w:rsid w:val="003B451C"/>
    <w:rsid w:val="004056FB"/>
    <w:rsid w:val="0040582D"/>
    <w:rsid w:val="00432F5C"/>
    <w:rsid w:val="00462CAD"/>
    <w:rsid w:val="00481D6D"/>
    <w:rsid w:val="004D7FB6"/>
    <w:rsid w:val="00516E50"/>
    <w:rsid w:val="00536FAE"/>
    <w:rsid w:val="005725CB"/>
    <w:rsid w:val="006021A3"/>
    <w:rsid w:val="00604684"/>
    <w:rsid w:val="00670C7D"/>
    <w:rsid w:val="006A5B66"/>
    <w:rsid w:val="006C12C5"/>
    <w:rsid w:val="006D6E2B"/>
    <w:rsid w:val="006E6316"/>
    <w:rsid w:val="006F478F"/>
    <w:rsid w:val="00735666"/>
    <w:rsid w:val="00747237"/>
    <w:rsid w:val="007C4755"/>
    <w:rsid w:val="007E3903"/>
    <w:rsid w:val="007E4E91"/>
    <w:rsid w:val="00837457"/>
    <w:rsid w:val="008710A1"/>
    <w:rsid w:val="00877D78"/>
    <w:rsid w:val="008A2C3E"/>
    <w:rsid w:val="008F05E9"/>
    <w:rsid w:val="00903F93"/>
    <w:rsid w:val="00925FE3"/>
    <w:rsid w:val="00935932"/>
    <w:rsid w:val="00935AF4"/>
    <w:rsid w:val="009416FD"/>
    <w:rsid w:val="009F3A11"/>
    <w:rsid w:val="00B11B14"/>
    <w:rsid w:val="00B15A4A"/>
    <w:rsid w:val="00B70F50"/>
    <w:rsid w:val="00B97064"/>
    <w:rsid w:val="00C552B6"/>
    <w:rsid w:val="00CB40FE"/>
    <w:rsid w:val="00D26CEB"/>
    <w:rsid w:val="00D86DF8"/>
    <w:rsid w:val="00DF76BB"/>
    <w:rsid w:val="00E0693F"/>
    <w:rsid w:val="00E50FBC"/>
    <w:rsid w:val="00E65DA7"/>
    <w:rsid w:val="00E9275B"/>
    <w:rsid w:val="00EF3508"/>
    <w:rsid w:val="00F04A33"/>
    <w:rsid w:val="00F224FC"/>
    <w:rsid w:val="00F620C5"/>
    <w:rsid w:val="00F873B6"/>
    <w:rsid w:val="00FB24F1"/>
    <w:rsid w:val="00FD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2F4A7"/>
  <w15:docId w15:val="{AE67C7F8-F4F4-4E5E-8E47-3D307916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AF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23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C01"/>
    <w:rPr>
      <w:rFonts w:ascii="Segoe UI" w:hAnsi="Segoe UI" w:cs="Segoe UI"/>
      <w:sz w:val="18"/>
      <w:szCs w:val="18"/>
    </w:rPr>
  </w:style>
  <w:style w:type="paragraph" w:styleId="ListParagraph">
    <w:name w:val="List Paragraph"/>
    <w:basedOn w:val="Normal"/>
    <w:uiPriority w:val="34"/>
    <w:qFormat/>
    <w:rsid w:val="007D7835"/>
    <w:pPr>
      <w:ind w:left="720"/>
      <w:contextualSpacing/>
    </w:pPr>
  </w:style>
  <w:style w:type="paragraph" w:customStyle="1" w:styleId="yiv6953748092msolistparagraph">
    <w:name w:val="yiv6953748092msolistparagraph"/>
    <w:basedOn w:val="Normal"/>
    <w:rsid w:val="003E0C8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1054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0582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70793">
      <w:bodyDiv w:val="1"/>
      <w:marLeft w:val="0"/>
      <w:marRight w:val="0"/>
      <w:marTop w:val="0"/>
      <w:marBottom w:val="0"/>
      <w:divBdr>
        <w:top w:val="none" w:sz="0" w:space="0" w:color="auto"/>
        <w:left w:val="none" w:sz="0" w:space="0" w:color="auto"/>
        <w:bottom w:val="none" w:sz="0" w:space="0" w:color="auto"/>
        <w:right w:val="none" w:sz="0" w:space="0" w:color="auto"/>
      </w:divBdr>
    </w:div>
    <w:div w:id="524056956">
      <w:bodyDiv w:val="1"/>
      <w:marLeft w:val="0"/>
      <w:marRight w:val="0"/>
      <w:marTop w:val="0"/>
      <w:marBottom w:val="0"/>
      <w:divBdr>
        <w:top w:val="none" w:sz="0" w:space="0" w:color="auto"/>
        <w:left w:val="none" w:sz="0" w:space="0" w:color="auto"/>
        <w:bottom w:val="none" w:sz="0" w:space="0" w:color="auto"/>
        <w:right w:val="none" w:sz="0" w:space="0" w:color="auto"/>
      </w:divBdr>
    </w:div>
    <w:div w:id="577055986">
      <w:bodyDiv w:val="1"/>
      <w:marLeft w:val="0"/>
      <w:marRight w:val="0"/>
      <w:marTop w:val="0"/>
      <w:marBottom w:val="0"/>
      <w:divBdr>
        <w:top w:val="none" w:sz="0" w:space="0" w:color="auto"/>
        <w:left w:val="none" w:sz="0" w:space="0" w:color="auto"/>
        <w:bottom w:val="none" w:sz="0" w:space="0" w:color="auto"/>
        <w:right w:val="none" w:sz="0" w:space="0" w:color="auto"/>
      </w:divBdr>
    </w:div>
    <w:div w:id="776023136">
      <w:bodyDiv w:val="1"/>
      <w:marLeft w:val="0"/>
      <w:marRight w:val="0"/>
      <w:marTop w:val="0"/>
      <w:marBottom w:val="0"/>
      <w:divBdr>
        <w:top w:val="none" w:sz="0" w:space="0" w:color="auto"/>
        <w:left w:val="none" w:sz="0" w:space="0" w:color="auto"/>
        <w:bottom w:val="none" w:sz="0" w:space="0" w:color="auto"/>
        <w:right w:val="none" w:sz="0" w:space="0" w:color="auto"/>
      </w:divBdr>
      <w:divsChild>
        <w:div w:id="1284193301">
          <w:marLeft w:val="0"/>
          <w:marRight w:val="0"/>
          <w:marTop w:val="0"/>
          <w:marBottom w:val="0"/>
          <w:divBdr>
            <w:top w:val="none" w:sz="0" w:space="0" w:color="auto"/>
            <w:left w:val="none" w:sz="0" w:space="0" w:color="auto"/>
            <w:bottom w:val="none" w:sz="0" w:space="0" w:color="auto"/>
            <w:right w:val="none" w:sz="0" w:space="0" w:color="auto"/>
          </w:divBdr>
        </w:div>
        <w:div w:id="2067290818">
          <w:marLeft w:val="0"/>
          <w:marRight w:val="0"/>
          <w:marTop w:val="0"/>
          <w:marBottom w:val="0"/>
          <w:divBdr>
            <w:top w:val="none" w:sz="0" w:space="0" w:color="auto"/>
            <w:left w:val="none" w:sz="0" w:space="0" w:color="auto"/>
            <w:bottom w:val="none" w:sz="0" w:space="0" w:color="auto"/>
            <w:right w:val="none" w:sz="0" w:space="0" w:color="auto"/>
          </w:divBdr>
        </w:div>
        <w:div w:id="2047290152">
          <w:marLeft w:val="0"/>
          <w:marRight w:val="0"/>
          <w:marTop w:val="0"/>
          <w:marBottom w:val="0"/>
          <w:divBdr>
            <w:top w:val="none" w:sz="0" w:space="0" w:color="auto"/>
            <w:left w:val="none" w:sz="0" w:space="0" w:color="auto"/>
            <w:bottom w:val="none" w:sz="0" w:space="0" w:color="auto"/>
            <w:right w:val="none" w:sz="0" w:space="0" w:color="auto"/>
          </w:divBdr>
        </w:div>
      </w:divsChild>
    </w:div>
    <w:div w:id="1137380303">
      <w:bodyDiv w:val="1"/>
      <w:marLeft w:val="0"/>
      <w:marRight w:val="0"/>
      <w:marTop w:val="0"/>
      <w:marBottom w:val="0"/>
      <w:divBdr>
        <w:top w:val="none" w:sz="0" w:space="0" w:color="auto"/>
        <w:left w:val="none" w:sz="0" w:space="0" w:color="auto"/>
        <w:bottom w:val="none" w:sz="0" w:space="0" w:color="auto"/>
        <w:right w:val="none" w:sz="0" w:space="0" w:color="auto"/>
      </w:divBdr>
      <w:divsChild>
        <w:div w:id="207959384">
          <w:marLeft w:val="-115"/>
          <w:marRight w:val="0"/>
          <w:marTop w:val="0"/>
          <w:marBottom w:val="0"/>
          <w:divBdr>
            <w:top w:val="none" w:sz="0" w:space="0" w:color="auto"/>
            <w:left w:val="none" w:sz="0" w:space="0" w:color="auto"/>
            <w:bottom w:val="none" w:sz="0" w:space="0" w:color="auto"/>
            <w:right w:val="none" w:sz="0" w:space="0" w:color="auto"/>
          </w:divBdr>
        </w:div>
        <w:div w:id="1515613917">
          <w:marLeft w:val="-115"/>
          <w:marRight w:val="0"/>
          <w:marTop w:val="0"/>
          <w:marBottom w:val="0"/>
          <w:divBdr>
            <w:top w:val="none" w:sz="0" w:space="0" w:color="auto"/>
            <w:left w:val="none" w:sz="0" w:space="0" w:color="auto"/>
            <w:bottom w:val="none" w:sz="0" w:space="0" w:color="auto"/>
            <w:right w:val="none" w:sz="0" w:space="0" w:color="auto"/>
          </w:divBdr>
        </w:div>
      </w:divsChild>
    </w:div>
    <w:div w:id="1582367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1BC97AF4BCD943B6662E66D060DF16" ma:contentTypeVersion="15" ma:contentTypeDescription="Create a new document." ma:contentTypeScope="" ma:versionID="8688f0355c6842c8e4d3ecb2feda896b">
  <xsd:schema xmlns:xsd="http://www.w3.org/2001/XMLSchema" xmlns:xs="http://www.w3.org/2001/XMLSchema" xmlns:p="http://schemas.microsoft.com/office/2006/metadata/properties" xmlns:ns3="ff66c7ec-690c-46e9-b0d2-9782a87dd3ec" xmlns:ns4="92d428b0-c3f7-4340-ae2c-403436243081" targetNamespace="http://schemas.microsoft.com/office/2006/metadata/properties" ma:root="true" ma:fieldsID="193a66cc41744b2510372a9bcc9dcd50" ns3:_="" ns4:_="">
    <xsd:import namespace="ff66c7ec-690c-46e9-b0d2-9782a87dd3ec"/>
    <xsd:import namespace="92d428b0-c3f7-4340-ae2c-40343624308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6c7ec-690c-46e9-b0d2-9782a87dd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428b0-c3f7-4340-ae2c-4034362430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f66c7ec-690c-46e9-b0d2-9782a87dd3ec"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3fTbFXbpKS9/sG5POSnV/5MEWqg==">AMUW2mXDHP9VVrQeROrqCw3F9fBJ/B+WyWk5etvR6Re/HrAOhY42DRacRaaYqPsjk7kV52/X3FQOzeXcSsfAfp3vc41MUeU3/ZP4d3oS0Dr4++jQDZwd1f2+iEWaacrWn1390UDqJIGH</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A5841-D244-4BBF-A9F6-55C026760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6c7ec-690c-46e9-b0d2-9782a87dd3ec"/>
    <ds:schemaRef ds:uri="92d428b0-c3f7-4340-ae2c-403436243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154C4-384C-4566-BA90-9C723A0BA984}">
  <ds:schemaRefs>
    <ds:schemaRef ds:uri="http://schemas.microsoft.com/office/2006/metadata/properties"/>
    <ds:schemaRef ds:uri="http://schemas.microsoft.com/office/infopath/2007/PartnerControls"/>
    <ds:schemaRef ds:uri="ff66c7ec-690c-46e9-b0d2-9782a87dd3ec"/>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AB4459A-8CEB-4130-A715-21ED3000D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597</Words>
  <Characters>3074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Stelter, Laurie</dc:creator>
  <cp:lastModifiedBy>Judith Joseph</cp:lastModifiedBy>
  <cp:revision>3</cp:revision>
  <cp:lastPrinted>2022-10-17T20:34:00Z</cp:lastPrinted>
  <dcterms:created xsi:type="dcterms:W3CDTF">2024-02-07T13:05:00Z</dcterms:created>
  <dcterms:modified xsi:type="dcterms:W3CDTF">2024-02-07T13:06:00Z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0x010100411BC97AF4BCD943B6662E66D060DF16</vt:lpwstr>
  </property>
  <property fmtid="{D5CDD505-2E9C-101B-9397-08002B2CF9AE}" pid="3" name="GrammarlyDocumentId">
    <vt:lpwstr>feb4018e5a35285c400ec769c107ac2ae2279b76dd86f2829cdd2c0aaddedbc3</vt:lpwstr>
  </property>
</Properties>
</file>